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1C97" w:rsidRDefault="00974563" w14:paraId="30808AFD" w14:textId="77777777">
      <w:pPr>
        <w:jc w:val="center"/>
        <w:rPr>
          <w:rFonts w:ascii="Cambria" w:hAnsi="Cambria" w:cs="Tahoma"/>
          <w:b/>
          <w:sz w:val="20"/>
        </w:rPr>
      </w:pPr>
      <w:r>
        <w:rPr>
          <w:rFonts w:ascii="Cambria" w:hAnsi="Cambria" w:cs="Tahoma"/>
          <w:b/>
          <w:sz w:val="20"/>
        </w:rPr>
        <w:t>FRATERNITY AND SORORITY PAC</w:t>
      </w:r>
    </w:p>
    <w:p w:rsidR="00E51C97" w:rsidRDefault="00974563" w14:paraId="4E60C60E" w14:textId="77777777">
      <w:pPr>
        <w:jc w:val="center"/>
        <w:rPr>
          <w:rFonts w:ascii="Cambria" w:hAnsi="Cambria" w:cs="Tahoma"/>
          <w:b/>
          <w:sz w:val="20"/>
        </w:rPr>
      </w:pPr>
      <w:r>
        <w:rPr>
          <w:rFonts w:ascii="Cambria" w:hAnsi="Cambria" w:cs="Tahoma"/>
          <w:b/>
          <w:sz w:val="20"/>
        </w:rPr>
        <w:t>INDEPENDENT EXPENDITURE PAC ACTIVITY VERSUS SOCIAL WELFARE ORGANIZATION ACTIVITY</w:t>
      </w:r>
    </w:p>
    <w:p w:rsidR="00E51C97" w:rsidRDefault="00E51C97" w14:paraId="719ADF20" w14:textId="77777777">
      <w:pPr>
        <w:jc w:val="center"/>
        <w:rPr>
          <w:rFonts w:ascii="Cambria" w:hAnsi="Cambria" w:cs="Tahoma"/>
          <w:b/>
          <w:sz w:val="20"/>
        </w:rPr>
      </w:pPr>
    </w:p>
    <w:tbl>
      <w:tblPr>
        <w:tblStyle w:val="TableGrid"/>
        <w:tblW w:w="14198" w:type="dxa"/>
        <w:tblLook w:val="04A0" w:firstRow="1" w:lastRow="0" w:firstColumn="1" w:lastColumn="0" w:noHBand="0" w:noVBand="1"/>
      </w:tblPr>
      <w:tblGrid>
        <w:gridCol w:w="3013"/>
        <w:gridCol w:w="536"/>
        <w:gridCol w:w="3394"/>
        <w:gridCol w:w="155"/>
        <w:gridCol w:w="3550"/>
        <w:gridCol w:w="3550"/>
      </w:tblGrid>
      <w:tr w:rsidR="00E51C97" w:rsidTr="00704C66" w14:paraId="120A56CF" w14:textId="77777777">
        <w:trPr>
          <w:trHeight w:val="293"/>
        </w:trPr>
        <w:tc>
          <w:tcPr>
            <w:tcW w:w="3549" w:type="dxa"/>
            <w:gridSpan w:val="2"/>
            <w:tcBorders>
              <w:bottom w:val="single" w:color="auto" w:sz="4" w:space="0"/>
            </w:tcBorders>
            <w:shd w:val="clear" w:color="auto" w:fill="000000" w:themeFill="text1"/>
          </w:tcPr>
          <w:p w:rsidR="00E51C97" w:rsidRDefault="00974563" w14:paraId="5D6EB8DF" w14:textId="77777777">
            <w:pPr>
              <w:jc w:val="center"/>
              <w:rPr>
                <w:rFonts w:ascii="Cambria" w:hAnsi="Cambria" w:cs="Tahoma"/>
                <w:b/>
                <w:color w:val="FFFFFF" w:themeColor="background1"/>
                <w:sz w:val="18"/>
                <w:highlight w:val="black"/>
              </w:rPr>
            </w:pPr>
            <w:r>
              <w:rPr>
                <w:rFonts w:ascii="Cambria" w:hAnsi="Cambria" w:cs="Tahoma"/>
                <w:b/>
                <w:color w:val="FFFFFF" w:themeColor="background1"/>
                <w:sz w:val="18"/>
                <w:highlight w:val="black"/>
              </w:rPr>
              <w:t>ACTIVITY</w:t>
            </w:r>
          </w:p>
        </w:tc>
        <w:tc>
          <w:tcPr>
            <w:tcW w:w="3549" w:type="dxa"/>
            <w:gridSpan w:val="2"/>
            <w:tcBorders>
              <w:bottom w:val="single" w:color="auto" w:sz="4" w:space="0"/>
            </w:tcBorders>
            <w:shd w:val="clear" w:color="auto" w:fill="000000" w:themeFill="text1"/>
          </w:tcPr>
          <w:p w:rsidR="00E51C97" w:rsidRDefault="00974563" w14:paraId="7BB732BA" w14:textId="77777777">
            <w:pPr>
              <w:jc w:val="center"/>
              <w:rPr>
                <w:rFonts w:ascii="Cambria" w:hAnsi="Cambria" w:cs="Tahoma"/>
                <w:b/>
                <w:color w:val="FFFFFF" w:themeColor="background1"/>
                <w:sz w:val="18"/>
                <w:highlight w:val="black"/>
              </w:rPr>
            </w:pPr>
            <w:r>
              <w:rPr>
                <w:rFonts w:ascii="Cambria" w:hAnsi="Cambria" w:cs="Tahoma"/>
                <w:b/>
                <w:color w:val="FFFFFF" w:themeColor="background1"/>
                <w:sz w:val="18"/>
                <w:highlight w:val="black"/>
              </w:rPr>
              <w:t>POLITICAL ACTION COMMITTEE</w:t>
            </w:r>
          </w:p>
        </w:tc>
        <w:tc>
          <w:tcPr>
            <w:tcW w:w="3550" w:type="dxa"/>
            <w:tcBorders>
              <w:bottom w:val="single" w:color="auto" w:sz="4" w:space="0"/>
            </w:tcBorders>
            <w:shd w:val="clear" w:color="auto" w:fill="000000" w:themeFill="text1"/>
          </w:tcPr>
          <w:p w:rsidR="00E51C97" w:rsidRDefault="00974563" w14:paraId="3E22031B" w14:textId="77777777">
            <w:pPr>
              <w:jc w:val="center"/>
              <w:rPr>
                <w:rFonts w:ascii="Cambria" w:hAnsi="Cambria" w:cs="Tahoma"/>
                <w:b/>
                <w:color w:val="FFFFFF" w:themeColor="background1"/>
                <w:sz w:val="18"/>
                <w:highlight w:val="black"/>
              </w:rPr>
            </w:pPr>
            <w:r>
              <w:rPr>
                <w:rFonts w:ascii="Cambria" w:hAnsi="Cambria" w:cs="Tahoma"/>
                <w:b/>
                <w:color w:val="FFFFFF" w:themeColor="background1"/>
                <w:sz w:val="18"/>
                <w:highlight w:val="black"/>
              </w:rPr>
              <w:t>POLITICAL ACTION COMMITTEE IEA</w:t>
            </w:r>
          </w:p>
        </w:tc>
        <w:tc>
          <w:tcPr>
            <w:tcW w:w="3550" w:type="dxa"/>
            <w:tcBorders>
              <w:bottom w:val="single" w:color="auto" w:sz="4" w:space="0"/>
            </w:tcBorders>
            <w:shd w:val="clear" w:color="auto" w:fill="000000" w:themeFill="text1"/>
          </w:tcPr>
          <w:p w:rsidR="00E51C97" w:rsidRDefault="00974563" w14:paraId="39DDEE43" w14:textId="77777777">
            <w:pPr>
              <w:jc w:val="center"/>
              <w:rPr>
                <w:rFonts w:ascii="Cambria" w:hAnsi="Cambria" w:cs="Tahoma"/>
                <w:b/>
                <w:color w:val="FFFFFF" w:themeColor="background1"/>
                <w:sz w:val="18"/>
                <w:highlight w:val="black"/>
              </w:rPr>
            </w:pPr>
            <w:r>
              <w:rPr>
                <w:rFonts w:ascii="Cambria" w:hAnsi="Cambria" w:cs="Tahoma"/>
                <w:b/>
                <w:color w:val="FFFFFF" w:themeColor="background1"/>
                <w:sz w:val="18"/>
                <w:highlight w:val="black"/>
              </w:rPr>
              <w:t>SOCIAL WELFARE ORGANIZATION (501(c)(4))</w:t>
            </w:r>
          </w:p>
        </w:tc>
      </w:tr>
      <w:tr w:rsidR="00E51C97" w14:paraId="707AB3E9" w14:textId="77777777">
        <w:trPr>
          <w:trHeight w:val="293"/>
        </w:trPr>
        <w:tc>
          <w:tcPr>
            <w:tcW w:w="14198" w:type="dxa"/>
            <w:gridSpan w:val="6"/>
            <w:shd w:val="pct5" w:color="auto" w:fill="auto"/>
          </w:tcPr>
          <w:p w:rsidR="00E51C97" w:rsidRDefault="00E51C97" w14:paraId="31B10E34" w14:textId="71735709">
            <w:pPr>
              <w:rPr>
                <w:rFonts w:ascii="Cambria" w:hAnsi="Cambria" w:cs="Tahoma"/>
                <w:b/>
              </w:rPr>
            </w:pPr>
          </w:p>
        </w:tc>
      </w:tr>
      <w:tr w:rsidR="00704C66" w14:paraId="4D28AFD8" w14:textId="77777777">
        <w:trPr>
          <w:trHeight w:val="293"/>
        </w:trPr>
        <w:tc>
          <w:tcPr>
            <w:tcW w:w="3013" w:type="dxa"/>
          </w:tcPr>
          <w:p w:rsidRPr="00704C66" w:rsidR="00704C66" w:rsidP="00704C66" w:rsidRDefault="00704C66" w14:paraId="2E54D560" w14:textId="70DED9F2">
            <w:pPr>
              <w:rPr>
                <w:rFonts w:asciiTheme="minorHAnsi" w:hAnsiTheme="minorHAnsi" w:cstheme="minorHAnsi"/>
                <w:b/>
                <w:sz w:val="20"/>
                <w:szCs w:val="20"/>
              </w:rPr>
            </w:pPr>
            <w:r w:rsidRPr="00704C66">
              <w:rPr>
                <w:rFonts w:asciiTheme="minorHAnsi" w:hAnsiTheme="minorHAnsi" w:cstheme="minorHAnsi"/>
                <w:b/>
                <w:sz w:val="20"/>
                <w:szCs w:val="20"/>
              </w:rPr>
              <w:t>Fundraising</w:t>
            </w:r>
          </w:p>
        </w:tc>
        <w:tc>
          <w:tcPr>
            <w:tcW w:w="3930" w:type="dxa"/>
            <w:gridSpan w:val="2"/>
          </w:tcPr>
          <w:p w:rsidRPr="00704C66" w:rsidR="00704C66" w:rsidP="00704C66" w:rsidRDefault="00704C66" w14:paraId="5065CFB5" w14:textId="77777777">
            <w:pPr>
              <w:rPr>
                <w:rFonts w:eastAsia="Tahoma" w:asciiTheme="minorHAnsi" w:hAnsiTheme="minorHAnsi" w:cstheme="minorHAnsi"/>
                <w:color w:val="000000"/>
                <w:spacing w:val="7"/>
                <w:sz w:val="20"/>
                <w:szCs w:val="20"/>
              </w:rPr>
            </w:pPr>
            <w:r w:rsidRPr="00704C66">
              <w:rPr>
                <w:rFonts w:eastAsia="Tahoma" w:asciiTheme="minorHAnsi" w:hAnsiTheme="minorHAnsi" w:cstheme="minorHAnsi"/>
                <w:color w:val="000000"/>
                <w:spacing w:val="7"/>
                <w:sz w:val="20"/>
                <w:szCs w:val="20"/>
              </w:rPr>
              <w:t xml:space="preserve">May use own funds for fundraising activity. If other permissible individuals or entities pay for FSPAC fundraising activity, that constitutes a reportable in-kind contribution subject to the FEC contribution limits. </w:t>
            </w:r>
          </w:p>
          <w:p w:rsidRPr="00704C66" w:rsidR="00704C66" w:rsidP="00704C66" w:rsidRDefault="00704C66" w14:paraId="6CDE2147" w14:textId="77777777">
            <w:pPr>
              <w:rPr>
                <w:rFonts w:eastAsia="Tahoma" w:asciiTheme="minorHAnsi" w:hAnsiTheme="minorHAnsi" w:cstheme="minorHAnsi"/>
                <w:color w:val="000000"/>
                <w:spacing w:val="7"/>
                <w:sz w:val="20"/>
                <w:szCs w:val="20"/>
              </w:rPr>
            </w:pPr>
          </w:p>
          <w:p w:rsidRPr="00704C66" w:rsidR="00704C66" w:rsidP="00704C66" w:rsidRDefault="00704C66" w14:paraId="078A94BA" w14:textId="305C057D">
            <w:pPr>
              <w:rPr>
                <w:rFonts w:asciiTheme="minorHAnsi" w:hAnsiTheme="minorHAnsi" w:cstheme="minorHAnsi"/>
                <w:sz w:val="20"/>
                <w:szCs w:val="20"/>
              </w:rPr>
            </w:pPr>
            <w:r w:rsidRPr="00704C66">
              <w:rPr>
                <w:rFonts w:eastAsia="Tahoma" w:asciiTheme="minorHAnsi" w:hAnsiTheme="minorHAnsi" w:cstheme="minorHAnsi"/>
                <w:color w:val="000000"/>
                <w:spacing w:val="7"/>
                <w:sz w:val="20"/>
                <w:szCs w:val="20"/>
              </w:rPr>
              <w:t>Fundraising activity benefitting both accounts may be allocated</w:t>
            </w:r>
            <w:r w:rsidRPr="00704C66">
              <w:rPr>
                <w:rFonts w:asciiTheme="minorHAnsi" w:hAnsiTheme="minorHAnsi" w:cstheme="minorHAnsi"/>
                <w:sz w:val="20"/>
                <w:szCs w:val="20"/>
              </w:rPr>
              <w:t xml:space="preserve"> </w:t>
            </w:r>
            <w:r w:rsidRPr="00704C66">
              <w:rPr>
                <w:rFonts w:eastAsia="Tahoma" w:asciiTheme="minorHAnsi" w:hAnsiTheme="minorHAnsi" w:cstheme="minorHAnsi"/>
                <w:color w:val="000000"/>
                <w:spacing w:val="7"/>
                <w:sz w:val="20"/>
                <w:szCs w:val="20"/>
              </w:rPr>
              <w:t>in a manner that corresponds to the percentage of activity for each account.</w:t>
            </w:r>
          </w:p>
        </w:tc>
        <w:tc>
          <w:tcPr>
            <w:tcW w:w="3705" w:type="dxa"/>
            <w:gridSpan w:val="2"/>
          </w:tcPr>
          <w:p w:rsidRPr="00704C66" w:rsidR="00704C66" w:rsidP="00704C66" w:rsidRDefault="00704C66" w14:paraId="091152CE" w14:textId="77777777">
            <w:pPr>
              <w:textAlignment w:val="baseline"/>
              <w:rPr>
                <w:rFonts w:eastAsia="Tahoma" w:asciiTheme="minorHAnsi" w:hAnsiTheme="minorHAnsi" w:cstheme="minorHAnsi"/>
                <w:color w:val="000000"/>
                <w:spacing w:val="7"/>
                <w:sz w:val="20"/>
                <w:szCs w:val="20"/>
              </w:rPr>
            </w:pPr>
            <w:r w:rsidRPr="00704C66">
              <w:rPr>
                <w:rFonts w:eastAsia="Tahoma" w:asciiTheme="minorHAnsi" w:hAnsiTheme="minorHAnsi" w:cstheme="minorHAnsi"/>
                <w:color w:val="000000"/>
                <w:spacing w:val="7"/>
                <w:sz w:val="20"/>
                <w:szCs w:val="20"/>
              </w:rPr>
              <w:t>May use own funds for fundraising activity. If other permissible individuals or entities pay for FSPAC-IEA fundraising activity, that constitutes a reportable in-kind contribution, but there would be no limit to the amount of an in-kind contribution the account could receive.</w:t>
            </w:r>
          </w:p>
          <w:p w:rsidRPr="00704C66" w:rsidR="00704C66" w:rsidP="00704C66" w:rsidRDefault="00704C66" w14:paraId="78A26BD2" w14:textId="77777777">
            <w:pPr>
              <w:textAlignment w:val="baseline"/>
              <w:rPr>
                <w:rFonts w:eastAsia="Tahoma" w:asciiTheme="minorHAnsi" w:hAnsiTheme="minorHAnsi" w:cstheme="minorHAnsi"/>
                <w:color w:val="000000"/>
                <w:spacing w:val="7"/>
                <w:sz w:val="20"/>
                <w:szCs w:val="20"/>
              </w:rPr>
            </w:pPr>
          </w:p>
          <w:p w:rsidRPr="00704C66" w:rsidR="00704C66" w:rsidP="00704C66" w:rsidRDefault="00704C66" w14:paraId="6A7856AB" w14:textId="4403EBF2">
            <w:pPr>
              <w:textAlignment w:val="baseline"/>
              <w:rPr>
                <w:rFonts w:eastAsia="Tahoma" w:asciiTheme="minorHAnsi" w:hAnsiTheme="minorHAnsi" w:cstheme="minorHAnsi"/>
                <w:color w:val="000000"/>
                <w:spacing w:val="7"/>
                <w:sz w:val="20"/>
                <w:szCs w:val="20"/>
              </w:rPr>
            </w:pPr>
            <w:r w:rsidRPr="00704C66">
              <w:rPr>
                <w:rFonts w:eastAsia="Tahoma" w:asciiTheme="minorHAnsi" w:hAnsiTheme="minorHAnsi" w:cstheme="minorHAnsi"/>
                <w:color w:val="000000"/>
                <w:spacing w:val="7"/>
                <w:sz w:val="20"/>
                <w:szCs w:val="20"/>
              </w:rPr>
              <w:t>Fundraising activity benefitting both accounts may be allocated</w:t>
            </w:r>
            <w:r w:rsidRPr="00704C66">
              <w:rPr>
                <w:rFonts w:asciiTheme="minorHAnsi" w:hAnsiTheme="minorHAnsi" w:cstheme="minorHAnsi"/>
                <w:sz w:val="20"/>
                <w:szCs w:val="20"/>
              </w:rPr>
              <w:t xml:space="preserve"> </w:t>
            </w:r>
            <w:r w:rsidRPr="00704C66">
              <w:rPr>
                <w:rFonts w:eastAsia="Tahoma" w:asciiTheme="minorHAnsi" w:hAnsiTheme="minorHAnsi" w:cstheme="minorHAnsi"/>
                <w:color w:val="000000"/>
                <w:spacing w:val="7"/>
                <w:sz w:val="20"/>
                <w:szCs w:val="20"/>
              </w:rPr>
              <w:t>in a manner that corresponds to the percentage of activity for each account.</w:t>
            </w:r>
          </w:p>
        </w:tc>
        <w:tc>
          <w:tcPr>
            <w:tcW w:w="3550" w:type="dxa"/>
          </w:tcPr>
          <w:p w:rsidRPr="00704C66" w:rsidR="00704C66" w:rsidP="00704C66" w:rsidRDefault="00704C66" w14:paraId="25A1D9AE" w14:textId="77777777">
            <w:pPr>
              <w:ind w:left="72" w:right="72"/>
              <w:textAlignment w:val="baseline"/>
              <w:rPr>
                <w:rFonts w:eastAsia="Tahoma" w:asciiTheme="minorHAnsi" w:hAnsiTheme="minorHAnsi" w:cstheme="minorHAnsi"/>
                <w:color w:val="000000"/>
                <w:spacing w:val="8"/>
                <w:sz w:val="20"/>
                <w:szCs w:val="20"/>
              </w:rPr>
            </w:pPr>
            <w:r w:rsidRPr="00704C66">
              <w:rPr>
                <w:rFonts w:eastAsia="Tahoma" w:asciiTheme="minorHAnsi" w:hAnsiTheme="minorHAnsi" w:cstheme="minorHAnsi"/>
                <w:color w:val="000000"/>
                <w:spacing w:val="8"/>
                <w:sz w:val="20"/>
                <w:szCs w:val="20"/>
              </w:rPr>
              <w:t>Can use own funds for fundraising activity. Others may fundraise on its behalf, but the others may need to comply with state charitable solicitation laws.</w:t>
            </w:r>
          </w:p>
        </w:tc>
      </w:tr>
      <w:tr w:rsidR="00704C66" w14:paraId="335DA4C7" w14:textId="77777777">
        <w:trPr>
          <w:trHeight w:val="293"/>
        </w:trPr>
        <w:tc>
          <w:tcPr>
            <w:tcW w:w="3013" w:type="dxa"/>
          </w:tcPr>
          <w:p w:rsidRPr="00704C66" w:rsidR="00704C66" w:rsidP="00704C66" w:rsidRDefault="00704C66" w14:paraId="2CEEBDD2" w14:textId="657F7DF3">
            <w:pPr>
              <w:rPr>
                <w:rFonts w:asciiTheme="minorHAnsi" w:hAnsiTheme="minorHAnsi" w:cstheme="minorHAnsi"/>
                <w:b/>
                <w:sz w:val="20"/>
                <w:szCs w:val="20"/>
              </w:rPr>
            </w:pPr>
            <w:r w:rsidRPr="00704C66">
              <w:rPr>
                <w:rFonts w:asciiTheme="minorHAnsi" w:hAnsiTheme="minorHAnsi" w:cstheme="minorHAnsi"/>
                <w:b/>
                <w:sz w:val="20"/>
                <w:szCs w:val="20"/>
              </w:rPr>
              <w:t>Administrative Expenses, Compliance, Legal</w:t>
            </w:r>
          </w:p>
        </w:tc>
        <w:tc>
          <w:tcPr>
            <w:tcW w:w="3930" w:type="dxa"/>
            <w:gridSpan w:val="2"/>
          </w:tcPr>
          <w:p w:rsidRPr="00704C66" w:rsidR="00704C66" w:rsidP="00704C66" w:rsidRDefault="00704C66" w14:paraId="0A1F4302" w14:textId="77777777">
            <w:pPr>
              <w:rPr>
                <w:rFonts w:eastAsia="Tahoma" w:asciiTheme="minorHAnsi" w:hAnsiTheme="minorHAnsi" w:cstheme="minorHAnsi"/>
                <w:color w:val="000000"/>
                <w:spacing w:val="7"/>
                <w:sz w:val="20"/>
                <w:szCs w:val="20"/>
              </w:rPr>
            </w:pPr>
            <w:r w:rsidRPr="00704C66">
              <w:rPr>
                <w:rFonts w:eastAsia="Tahoma" w:asciiTheme="minorHAnsi" w:hAnsiTheme="minorHAnsi" w:cstheme="minorHAnsi"/>
                <w:color w:val="000000"/>
                <w:sz w:val="20"/>
                <w:szCs w:val="20"/>
              </w:rPr>
              <w:t>Can use own funds for administrative expenses of organization.  Can also</w:t>
            </w:r>
            <w:r w:rsidRPr="00704C66">
              <w:rPr>
                <w:rFonts w:eastAsia="Tahoma" w:asciiTheme="minorHAnsi" w:hAnsiTheme="minorHAnsi" w:cstheme="minorHAnsi"/>
                <w:color w:val="000000"/>
                <w:spacing w:val="7"/>
                <w:sz w:val="20"/>
                <w:szCs w:val="20"/>
              </w:rPr>
              <w:t xml:space="preserve"> seek funding by individuals or other permissible entities (see above) but would be considered a reportable in-kind contribution to the PAC, subject to the limits.</w:t>
            </w:r>
          </w:p>
          <w:p w:rsidRPr="00704C66" w:rsidR="00704C66" w:rsidP="00704C66" w:rsidRDefault="00704C66" w14:paraId="6C5A6B48" w14:textId="77777777">
            <w:pPr>
              <w:rPr>
                <w:rFonts w:asciiTheme="minorHAnsi" w:hAnsiTheme="minorHAnsi" w:cstheme="minorHAnsi"/>
                <w:sz w:val="20"/>
                <w:szCs w:val="20"/>
              </w:rPr>
            </w:pPr>
          </w:p>
          <w:p w:rsidRPr="00704C66" w:rsidR="00704C66" w:rsidP="00704C66" w:rsidRDefault="00704C66" w14:paraId="5DF4FEA6" w14:textId="670FC7B7">
            <w:pPr>
              <w:rPr>
                <w:rFonts w:asciiTheme="minorHAnsi" w:hAnsiTheme="minorHAnsi" w:cstheme="minorHAnsi"/>
                <w:sz w:val="20"/>
                <w:szCs w:val="20"/>
              </w:rPr>
            </w:pPr>
            <w:r w:rsidRPr="00704C66">
              <w:rPr>
                <w:rFonts w:eastAsia="Tahoma" w:asciiTheme="minorHAnsi" w:hAnsiTheme="minorHAnsi" w:cstheme="minorHAnsi"/>
                <w:color w:val="000000"/>
                <w:spacing w:val="7"/>
                <w:sz w:val="20"/>
                <w:szCs w:val="20"/>
              </w:rPr>
              <w:t>Administrative expense benefitting both accounts may be allocated</w:t>
            </w:r>
            <w:r w:rsidRPr="00704C66">
              <w:rPr>
                <w:rFonts w:asciiTheme="minorHAnsi" w:hAnsiTheme="minorHAnsi" w:cstheme="minorHAnsi"/>
                <w:sz w:val="20"/>
                <w:szCs w:val="20"/>
              </w:rPr>
              <w:t xml:space="preserve"> </w:t>
            </w:r>
            <w:r w:rsidRPr="00704C66">
              <w:rPr>
                <w:rFonts w:eastAsia="Tahoma" w:asciiTheme="minorHAnsi" w:hAnsiTheme="minorHAnsi" w:cstheme="minorHAnsi"/>
                <w:color w:val="000000"/>
                <w:spacing w:val="7"/>
                <w:sz w:val="20"/>
                <w:szCs w:val="20"/>
              </w:rPr>
              <w:t>in a manner that corresponds to the percentage of activity for each account.</w:t>
            </w:r>
          </w:p>
        </w:tc>
        <w:tc>
          <w:tcPr>
            <w:tcW w:w="3705" w:type="dxa"/>
            <w:gridSpan w:val="2"/>
          </w:tcPr>
          <w:p w:rsidRPr="00704C66" w:rsidR="00704C66" w:rsidP="00704C66" w:rsidRDefault="00704C66" w14:paraId="20A7438D" w14:textId="77777777">
            <w:pPr>
              <w:spacing w:after="5"/>
              <w:jc w:val="both"/>
              <w:textAlignment w:val="baseline"/>
              <w:rPr>
                <w:rFonts w:eastAsia="Tahoma" w:asciiTheme="minorHAnsi" w:hAnsiTheme="minorHAnsi" w:cstheme="minorHAnsi"/>
                <w:color w:val="000000"/>
                <w:spacing w:val="7"/>
                <w:sz w:val="20"/>
                <w:szCs w:val="20"/>
              </w:rPr>
            </w:pPr>
            <w:r w:rsidRPr="00704C66">
              <w:rPr>
                <w:rFonts w:eastAsia="Tahoma" w:asciiTheme="minorHAnsi" w:hAnsiTheme="minorHAnsi" w:cstheme="minorHAnsi"/>
                <w:color w:val="000000"/>
                <w:sz w:val="20"/>
                <w:szCs w:val="20"/>
              </w:rPr>
              <w:t>Can use own funds for administrative expenses of organization.  May also be</w:t>
            </w:r>
            <w:r w:rsidRPr="00704C66">
              <w:rPr>
                <w:rFonts w:eastAsia="Tahoma" w:asciiTheme="minorHAnsi" w:hAnsiTheme="minorHAnsi" w:cstheme="minorHAnsi"/>
                <w:color w:val="000000"/>
                <w:spacing w:val="7"/>
                <w:sz w:val="20"/>
                <w:szCs w:val="20"/>
              </w:rPr>
              <w:t xml:space="preserve"> funded by individuals or other permissible entities (see above), but would be considered a reportable in-kind contribution to the IEA.  In-kind contributions would not be subject to contribution limits.  </w:t>
            </w:r>
          </w:p>
          <w:p w:rsidRPr="00704C66" w:rsidR="00704C66" w:rsidP="00704C66" w:rsidRDefault="00704C66" w14:paraId="4BD745B3" w14:textId="77777777">
            <w:pPr>
              <w:spacing w:after="5"/>
              <w:jc w:val="both"/>
              <w:textAlignment w:val="baseline"/>
              <w:rPr>
                <w:rFonts w:eastAsia="Tahoma" w:asciiTheme="minorHAnsi" w:hAnsiTheme="minorHAnsi" w:cstheme="minorHAnsi"/>
                <w:color w:val="000000"/>
                <w:sz w:val="20"/>
                <w:szCs w:val="20"/>
              </w:rPr>
            </w:pPr>
          </w:p>
          <w:p w:rsidRPr="00704C66" w:rsidR="00704C66" w:rsidP="00704C66" w:rsidRDefault="00704C66" w14:paraId="1ADA0C96" w14:textId="636D9BA8">
            <w:pPr>
              <w:rPr>
                <w:rFonts w:asciiTheme="minorHAnsi" w:hAnsiTheme="minorHAnsi" w:cstheme="minorHAnsi"/>
                <w:sz w:val="20"/>
                <w:szCs w:val="20"/>
              </w:rPr>
            </w:pPr>
            <w:r w:rsidRPr="00704C66">
              <w:rPr>
                <w:rFonts w:eastAsia="Tahoma" w:asciiTheme="minorHAnsi" w:hAnsiTheme="minorHAnsi" w:cstheme="minorHAnsi"/>
                <w:color w:val="000000"/>
                <w:spacing w:val="7"/>
                <w:sz w:val="20"/>
                <w:szCs w:val="20"/>
              </w:rPr>
              <w:t>Administrative expense benefitting both accounts may be allocated</w:t>
            </w:r>
            <w:r w:rsidRPr="00704C66">
              <w:rPr>
                <w:rFonts w:asciiTheme="minorHAnsi" w:hAnsiTheme="minorHAnsi" w:cstheme="minorHAnsi"/>
                <w:sz w:val="20"/>
                <w:szCs w:val="20"/>
              </w:rPr>
              <w:t xml:space="preserve"> </w:t>
            </w:r>
            <w:r w:rsidRPr="00704C66">
              <w:rPr>
                <w:rFonts w:eastAsia="Tahoma" w:asciiTheme="minorHAnsi" w:hAnsiTheme="minorHAnsi" w:cstheme="minorHAnsi"/>
                <w:color w:val="000000"/>
                <w:spacing w:val="7"/>
                <w:sz w:val="20"/>
                <w:szCs w:val="20"/>
              </w:rPr>
              <w:t>in a manner that corresponds to the percentage of activity for each account.</w:t>
            </w:r>
          </w:p>
        </w:tc>
        <w:tc>
          <w:tcPr>
            <w:tcW w:w="3550" w:type="dxa"/>
          </w:tcPr>
          <w:p w:rsidRPr="00704C66" w:rsidR="00704C66" w:rsidP="00704C66" w:rsidRDefault="00704C66" w14:paraId="3A2187A5" w14:textId="48A806F6">
            <w:pPr>
              <w:spacing w:after="1"/>
              <w:ind w:right="144"/>
              <w:textAlignment w:val="baseline"/>
              <w:rPr>
                <w:rFonts w:eastAsia="Tahoma" w:asciiTheme="minorHAnsi" w:hAnsiTheme="minorHAnsi" w:cstheme="minorHAnsi"/>
                <w:color w:val="000000"/>
                <w:spacing w:val="7"/>
                <w:sz w:val="20"/>
                <w:szCs w:val="20"/>
              </w:rPr>
            </w:pPr>
            <w:r w:rsidRPr="00704C66">
              <w:rPr>
                <w:rFonts w:eastAsia="Tahoma" w:asciiTheme="minorHAnsi" w:hAnsiTheme="minorHAnsi" w:cstheme="minorHAnsi"/>
                <w:color w:val="000000"/>
                <w:sz w:val="20"/>
                <w:szCs w:val="20"/>
              </w:rPr>
              <w:t>Can use own funds for administrative expenses of organization</w:t>
            </w:r>
            <w:r>
              <w:rPr>
                <w:rFonts w:eastAsia="Tahoma" w:asciiTheme="minorHAnsi" w:hAnsiTheme="minorHAnsi" w:cstheme="minorHAnsi"/>
                <w:color w:val="000000"/>
                <w:sz w:val="20"/>
                <w:szCs w:val="20"/>
              </w:rPr>
              <w:t xml:space="preserve"> or seek donations from corporations or individuals. </w:t>
            </w:r>
          </w:p>
        </w:tc>
      </w:tr>
      <w:tr w:rsidR="00704C66" w14:paraId="7F87BCAC" w14:textId="77777777">
        <w:trPr>
          <w:trHeight w:val="293"/>
        </w:trPr>
        <w:tc>
          <w:tcPr>
            <w:tcW w:w="3013" w:type="dxa"/>
          </w:tcPr>
          <w:p w:rsidRPr="00704C66" w:rsidR="00704C66" w:rsidP="00704C66" w:rsidRDefault="00704C66" w14:paraId="2A8725FC" w14:textId="7EF9769C">
            <w:pPr>
              <w:rPr>
                <w:rFonts w:asciiTheme="minorHAnsi" w:hAnsiTheme="minorHAnsi" w:cstheme="minorHAnsi"/>
                <w:b/>
                <w:sz w:val="20"/>
                <w:szCs w:val="20"/>
              </w:rPr>
            </w:pPr>
            <w:r w:rsidRPr="00704C66">
              <w:rPr>
                <w:rFonts w:asciiTheme="minorHAnsi" w:hAnsiTheme="minorHAnsi" w:cstheme="minorHAnsi"/>
                <w:b/>
                <w:sz w:val="20"/>
                <w:szCs w:val="20"/>
              </w:rPr>
              <w:t xml:space="preserve">Direct contributions to federal candidates, PACs, Party Committees </w:t>
            </w:r>
          </w:p>
        </w:tc>
        <w:tc>
          <w:tcPr>
            <w:tcW w:w="3930" w:type="dxa"/>
            <w:gridSpan w:val="2"/>
          </w:tcPr>
          <w:p w:rsidRPr="00704C66" w:rsidR="00704C66" w:rsidP="00704C66" w:rsidRDefault="00704C66" w14:paraId="1DC8F729" w14:textId="1BAEBED9">
            <w:pPr>
              <w:rPr>
                <w:rFonts w:asciiTheme="minorHAnsi" w:hAnsiTheme="minorHAnsi" w:cstheme="minorHAnsi"/>
                <w:sz w:val="20"/>
                <w:szCs w:val="20"/>
              </w:rPr>
            </w:pPr>
            <w:r w:rsidRPr="00704C66">
              <w:rPr>
                <w:rFonts w:eastAsia="Tahoma" w:asciiTheme="minorHAnsi" w:hAnsiTheme="minorHAnsi" w:cstheme="minorHAnsi"/>
                <w:color w:val="000000"/>
                <w:sz w:val="20"/>
                <w:szCs w:val="20"/>
              </w:rPr>
              <w:t xml:space="preserve">Permissible and subject to contribution limits set by law. </w:t>
            </w:r>
          </w:p>
        </w:tc>
        <w:tc>
          <w:tcPr>
            <w:tcW w:w="3705" w:type="dxa"/>
            <w:gridSpan w:val="2"/>
          </w:tcPr>
          <w:p w:rsidRPr="00704C66" w:rsidR="00704C66" w:rsidP="00704C66" w:rsidRDefault="00704C66" w14:paraId="41BEA5BA" w14:textId="34D5C5C4">
            <w:pPr>
              <w:textAlignment w:val="baseline"/>
              <w:rPr>
                <w:rFonts w:eastAsia="Tahoma" w:asciiTheme="minorHAnsi" w:hAnsiTheme="minorHAnsi" w:cstheme="minorHAnsi"/>
                <w:color w:val="000000"/>
                <w:spacing w:val="7"/>
                <w:sz w:val="20"/>
                <w:szCs w:val="20"/>
              </w:rPr>
            </w:pPr>
            <w:r w:rsidRPr="00704C66">
              <w:rPr>
                <w:rFonts w:eastAsia="Tahoma" w:asciiTheme="minorHAnsi" w:hAnsiTheme="minorHAnsi" w:cstheme="minorHAnsi"/>
                <w:color w:val="000000"/>
                <w:sz w:val="20"/>
                <w:szCs w:val="20"/>
              </w:rPr>
              <w:t xml:space="preserve">Impermissible.  Federal candidates, political action committees and political party committees may not accept funds from the IEA account. </w:t>
            </w:r>
          </w:p>
        </w:tc>
        <w:tc>
          <w:tcPr>
            <w:tcW w:w="3550" w:type="dxa"/>
          </w:tcPr>
          <w:p w:rsidRPr="00704C66" w:rsidR="00704C66" w:rsidP="00704C66" w:rsidRDefault="00704C66" w14:paraId="49E8B580" w14:textId="71AE4A15">
            <w:pPr>
              <w:spacing w:after="187"/>
              <w:ind w:right="72"/>
              <w:textAlignment w:val="baseline"/>
              <w:rPr>
                <w:rFonts w:eastAsia="Tahoma" w:asciiTheme="minorHAnsi" w:hAnsiTheme="minorHAnsi" w:cstheme="minorHAnsi"/>
                <w:color w:val="000000"/>
                <w:spacing w:val="7"/>
                <w:sz w:val="20"/>
                <w:szCs w:val="20"/>
              </w:rPr>
            </w:pPr>
            <w:r>
              <w:rPr>
                <w:rFonts w:eastAsia="Tahoma" w:asciiTheme="minorHAnsi" w:hAnsiTheme="minorHAnsi" w:cstheme="minorHAnsi"/>
                <w:color w:val="000000"/>
                <w:spacing w:val="7"/>
                <w:sz w:val="20"/>
                <w:szCs w:val="20"/>
              </w:rPr>
              <w:t xml:space="preserve">Impermissible. </w:t>
            </w:r>
            <w:r w:rsidR="00830B5C">
              <w:rPr>
                <w:rFonts w:eastAsia="Tahoma" w:asciiTheme="minorHAnsi" w:hAnsiTheme="minorHAnsi" w:cstheme="minorHAnsi"/>
                <w:color w:val="000000"/>
                <w:spacing w:val="7"/>
                <w:sz w:val="20"/>
                <w:szCs w:val="20"/>
              </w:rPr>
              <w:t>F</w:t>
            </w:r>
            <w:r w:rsidRPr="00704C66" w:rsidR="00830B5C">
              <w:rPr>
                <w:rFonts w:eastAsia="Tahoma" w:asciiTheme="minorHAnsi" w:hAnsiTheme="minorHAnsi" w:cstheme="minorHAnsi"/>
                <w:color w:val="000000"/>
                <w:sz w:val="20"/>
                <w:szCs w:val="20"/>
              </w:rPr>
              <w:t>ederal candidates, political action committees and political party committees may not accept fund</w:t>
            </w:r>
            <w:r w:rsidR="00830B5C">
              <w:rPr>
                <w:rFonts w:eastAsia="Tahoma" w:asciiTheme="minorHAnsi" w:hAnsiTheme="minorHAnsi" w:cstheme="minorHAnsi"/>
                <w:color w:val="000000"/>
                <w:sz w:val="20"/>
                <w:szCs w:val="20"/>
              </w:rPr>
              <w:t xml:space="preserve">s from Section 501(c)(4) organizations. </w:t>
            </w:r>
          </w:p>
        </w:tc>
      </w:tr>
      <w:tr w:rsidR="00704C66" w14:paraId="4DD96390" w14:textId="77777777">
        <w:trPr>
          <w:trHeight w:val="293"/>
        </w:trPr>
        <w:tc>
          <w:tcPr>
            <w:tcW w:w="3013" w:type="dxa"/>
          </w:tcPr>
          <w:p w:rsidRPr="00704C66" w:rsidR="00704C66" w:rsidP="00704C66" w:rsidRDefault="00704C66" w14:paraId="155E1623" w14:textId="0810AD93">
            <w:pPr>
              <w:rPr>
                <w:rFonts w:asciiTheme="minorHAnsi" w:hAnsiTheme="minorHAnsi" w:cstheme="minorHAnsi"/>
                <w:b/>
                <w:sz w:val="20"/>
                <w:szCs w:val="20"/>
              </w:rPr>
            </w:pPr>
            <w:r w:rsidRPr="00704C66">
              <w:rPr>
                <w:rFonts w:asciiTheme="minorHAnsi" w:hAnsiTheme="minorHAnsi" w:cstheme="minorHAnsi"/>
                <w:b/>
                <w:sz w:val="20"/>
                <w:szCs w:val="20"/>
              </w:rPr>
              <w:t xml:space="preserve">Direct contributions to Super PACs, 501(c)(4) organizations, and charities </w:t>
            </w:r>
          </w:p>
        </w:tc>
        <w:tc>
          <w:tcPr>
            <w:tcW w:w="3930" w:type="dxa"/>
            <w:gridSpan w:val="2"/>
          </w:tcPr>
          <w:p w:rsidRPr="00704C66" w:rsidR="00704C66" w:rsidP="00704C66" w:rsidRDefault="00704C66" w14:paraId="5583F5BC" w14:textId="02DF8AD1">
            <w:pPr>
              <w:rPr>
                <w:rFonts w:asciiTheme="minorHAnsi" w:hAnsiTheme="minorHAnsi" w:cstheme="minorHAnsi"/>
                <w:sz w:val="20"/>
                <w:szCs w:val="20"/>
              </w:rPr>
            </w:pPr>
            <w:r w:rsidRPr="00704C66">
              <w:rPr>
                <w:rFonts w:eastAsia="Tahoma" w:asciiTheme="minorHAnsi" w:hAnsiTheme="minorHAnsi" w:cstheme="minorHAnsi"/>
                <w:color w:val="000000"/>
                <w:sz w:val="20"/>
                <w:szCs w:val="20"/>
              </w:rPr>
              <w:t>Permissible.</w:t>
            </w:r>
          </w:p>
        </w:tc>
        <w:tc>
          <w:tcPr>
            <w:tcW w:w="3705" w:type="dxa"/>
            <w:gridSpan w:val="2"/>
          </w:tcPr>
          <w:p w:rsidRPr="00704C66" w:rsidR="00704C66" w:rsidP="00704C66" w:rsidRDefault="00704C66" w14:paraId="42770FE7" w14:textId="54DD200F">
            <w:pPr>
              <w:rPr>
                <w:rFonts w:asciiTheme="minorHAnsi" w:hAnsiTheme="minorHAnsi" w:cstheme="minorHAnsi"/>
                <w:sz w:val="20"/>
                <w:szCs w:val="20"/>
              </w:rPr>
            </w:pPr>
            <w:r w:rsidRPr="00704C66">
              <w:rPr>
                <w:rFonts w:eastAsia="Tahoma" w:asciiTheme="minorHAnsi" w:hAnsiTheme="minorHAnsi" w:cstheme="minorHAnsi"/>
                <w:color w:val="000000"/>
                <w:sz w:val="20"/>
                <w:szCs w:val="20"/>
              </w:rPr>
              <w:t xml:space="preserve">Permissible.  </w:t>
            </w:r>
          </w:p>
        </w:tc>
        <w:tc>
          <w:tcPr>
            <w:tcW w:w="3550" w:type="dxa"/>
          </w:tcPr>
          <w:p w:rsidR="00704C66" w:rsidP="00704C66" w:rsidRDefault="00704C66" w14:paraId="062C7340" w14:textId="45D9DEA9">
            <w:pPr>
              <w:rPr>
                <w:rFonts w:asciiTheme="minorHAnsi" w:hAnsiTheme="minorHAnsi" w:cstheme="minorHAnsi"/>
                <w:sz w:val="20"/>
                <w:szCs w:val="20"/>
              </w:rPr>
            </w:pPr>
            <w:r>
              <w:rPr>
                <w:rFonts w:asciiTheme="minorHAnsi" w:hAnsiTheme="minorHAnsi" w:cstheme="minorHAnsi"/>
                <w:sz w:val="20"/>
                <w:szCs w:val="20"/>
              </w:rPr>
              <w:t>To Super PACs: permissible but must not be a straw contribution</w:t>
            </w:r>
            <w:r w:rsidR="009606EC">
              <w:rPr>
                <w:rFonts w:asciiTheme="minorHAnsi" w:hAnsiTheme="minorHAnsi" w:cstheme="minorHAnsi"/>
                <w:sz w:val="20"/>
                <w:szCs w:val="20"/>
              </w:rPr>
              <w:t>.</w:t>
            </w:r>
          </w:p>
          <w:p w:rsidR="00704C66" w:rsidP="00704C66" w:rsidRDefault="00704C66" w14:paraId="353F1E72" w14:textId="77777777">
            <w:pPr>
              <w:rPr>
                <w:rFonts w:asciiTheme="minorHAnsi" w:hAnsiTheme="minorHAnsi" w:cstheme="minorHAnsi"/>
                <w:sz w:val="20"/>
                <w:szCs w:val="20"/>
              </w:rPr>
            </w:pPr>
          </w:p>
          <w:p w:rsidR="00704C66" w:rsidP="00704C66" w:rsidRDefault="00704C66" w14:paraId="45836D39" w14:textId="77777777">
            <w:pPr>
              <w:rPr>
                <w:rFonts w:asciiTheme="minorHAnsi" w:hAnsiTheme="minorHAnsi" w:cstheme="minorHAnsi"/>
                <w:sz w:val="20"/>
                <w:szCs w:val="20"/>
              </w:rPr>
            </w:pPr>
            <w:r>
              <w:rPr>
                <w:rFonts w:asciiTheme="minorHAnsi" w:hAnsiTheme="minorHAnsi" w:cstheme="minorHAnsi"/>
                <w:sz w:val="20"/>
                <w:szCs w:val="20"/>
              </w:rPr>
              <w:lastRenderedPageBreak/>
              <w:t>To other Section 501(c)(4)</w:t>
            </w:r>
          </w:p>
          <w:p w:rsidRPr="00704C66" w:rsidR="00704C66" w:rsidP="00704C66" w:rsidRDefault="00704C66" w14:paraId="6CA9EC41" w14:textId="4FCD81CE">
            <w:pPr>
              <w:rPr>
                <w:rFonts w:asciiTheme="minorHAnsi" w:hAnsiTheme="minorHAnsi" w:cstheme="minorHAnsi"/>
                <w:sz w:val="20"/>
                <w:szCs w:val="20"/>
              </w:rPr>
            </w:pPr>
            <w:r>
              <w:rPr>
                <w:rFonts w:asciiTheme="minorHAnsi" w:hAnsiTheme="minorHAnsi" w:cstheme="minorHAnsi"/>
                <w:sz w:val="20"/>
                <w:szCs w:val="20"/>
              </w:rPr>
              <w:t>To Section 501(c)(3)s and 501(c)(4)s: permissible if consistent with FSAF mission</w:t>
            </w:r>
          </w:p>
        </w:tc>
      </w:tr>
      <w:tr w:rsidR="00704C66" w14:paraId="10D34705" w14:textId="77777777">
        <w:trPr>
          <w:trHeight w:val="293"/>
        </w:trPr>
        <w:tc>
          <w:tcPr>
            <w:tcW w:w="3013" w:type="dxa"/>
            <w:tcBorders>
              <w:bottom w:val="single" w:color="auto" w:sz="4" w:space="0"/>
            </w:tcBorders>
          </w:tcPr>
          <w:p w:rsidRPr="00704C66" w:rsidR="00704C66" w:rsidP="00704C66" w:rsidRDefault="00704C66" w14:paraId="27CD5F29" w14:textId="57F570DE">
            <w:pPr>
              <w:rPr>
                <w:rFonts w:asciiTheme="minorHAnsi" w:hAnsiTheme="minorHAnsi" w:cstheme="minorHAnsi"/>
                <w:b/>
                <w:sz w:val="20"/>
                <w:szCs w:val="20"/>
              </w:rPr>
            </w:pPr>
            <w:r w:rsidRPr="00704C66">
              <w:rPr>
                <w:rFonts w:asciiTheme="minorHAnsi" w:hAnsiTheme="minorHAnsi" w:cstheme="minorHAnsi"/>
                <w:b/>
                <w:sz w:val="20"/>
                <w:szCs w:val="20"/>
              </w:rPr>
              <w:lastRenderedPageBreak/>
              <w:t>Issue Advocacy</w:t>
            </w:r>
            <w:r w:rsidR="009606EC">
              <w:rPr>
                <w:rFonts w:asciiTheme="minorHAnsi" w:hAnsiTheme="minorHAnsi" w:cstheme="minorHAnsi"/>
                <w:b/>
                <w:sz w:val="20"/>
                <w:szCs w:val="20"/>
              </w:rPr>
              <w:t xml:space="preserve"> (including direct lobbying) </w:t>
            </w:r>
          </w:p>
        </w:tc>
        <w:tc>
          <w:tcPr>
            <w:tcW w:w="3930" w:type="dxa"/>
            <w:gridSpan w:val="2"/>
            <w:tcBorders>
              <w:bottom w:val="single" w:color="auto" w:sz="4" w:space="0"/>
            </w:tcBorders>
          </w:tcPr>
          <w:p w:rsidRPr="00704C66" w:rsidR="00704C66" w:rsidP="00704C66" w:rsidRDefault="00704C66" w14:paraId="0CC86530" w14:textId="6F741576">
            <w:pPr>
              <w:rPr>
                <w:rFonts w:asciiTheme="minorHAnsi" w:hAnsiTheme="minorHAnsi" w:cstheme="minorHAnsi"/>
                <w:sz w:val="20"/>
                <w:szCs w:val="20"/>
              </w:rPr>
            </w:pPr>
            <w:r w:rsidRPr="00704C66">
              <w:rPr>
                <w:rFonts w:eastAsia="Tahoma" w:asciiTheme="minorHAnsi" w:hAnsiTheme="minorHAnsi" w:cstheme="minorHAnsi"/>
                <w:color w:val="000000"/>
                <w:spacing w:val="5"/>
                <w:sz w:val="20"/>
                <w:szCs w:val="20"/>
              </w:rPr>
              <w:t xml:space="preserve">Encouraging a Member of Congress to introduce, support, oppose, or modify legislation is not election-influencing activity. The same is true of related activity, such as drafting legislation and talking papers. Expenditures used for such activity would be subject to tax but they are permissible issue speech.  Other election laws may able such as rules regarding the reporting of independent expenditures or electioneering communications.  </w:t>
            </w:r>
          </w:p>
        </w:tc>
        <w:tc>
          <w:tcPr>
            <w:tcW w:w="3705" w:type="dxa"/>
            <w:gridSpan w:val="2"/>
            <w:tcBorders>
              <w:bottom w:val="single" w:color="auto" w:sz="4" w:space="0"/>
            </w:tcBorders>
          </w:tcPr>
          <w:p w:rsidRPr="00704C66" w:rsidR="00704C66" w:rsidP="00704C66" w:rsidRDefault="00704C66" w14:paraId="4040C563" w14:textId="77777777">
            <w:pPr>
              <w:ind w:right="180"/>
              <w:textAlignment w:val="baseline"/>
              <w:rPr>
                <w:rFonts w:eastAsia="Tahoma" w:asciiTheme="minorHAnsi" w:hAnsiTheme="minorHAnsi" w:cstheme="minorHAnsi"/>
                <w:color w:val="000000"/>
                <w:spacing w:val="6"/>
                <w:sz w:val="20"/>
                <w:szCs w:val="20"/>
              </w:rPr>
            </w:pPr>
            <w:r w:rsidRPr="00704C66">
              <w:rPr>
                <w:rFonts w:eastAsia="Tahoma" w:asciiTheme="minorHAnsi" w:hAnsiTheme="minorHAnsi" w:cstheme="minorHAnsi"/>
                <w:color w:val="000000"/>
                <w:spacing w:val="5"/>
                <w:sz w:val="20"/>
                <w:szCs w:val="20"/>
              </w:rPr>
              <w:t>Encouraging a Member of Congress to introduce, support, oppose, or modify legislation is not election-influencing activity. The same is true of related activity, such as drafting legislation and talking papers. Expenditures used for such activity would be subject to tax.</w:t>
            </w:r>
            <w:r w:rsidRPr="00704C66">
              <w:rPr>
                <w:rFonts w:eastAsia="Tahoma" w:asciiTheme="minorHAnsi" w:hAnsiTheme="minorHAnsi" w:cstheme="minorHAnsi"/>
                <w:color w:val="000000"/>
                <w:spacing w:val="6"/>
                <w:sz w:val="20"/>
                <w:szCs w:val="20"/>
              </w:rPr>
              <w:t xml:space="preserve"> </w:t>
            </w:r>
          </w:p>
          <w:p w:rsidRPr="00704C66" w:rsidR="00704C66" w:rsidP="00704C66" w:rsidRDefault="00704C66" w14:paraId="0FE13651" w14:textId="77777777">
            <w:pPr>
              <w:ind w:right="180"/>
              <w:textAlignment w:val="baseline"/>
              <w:rPr>
                <w:rFonts w:eastAsia="Tahoma" w:asciiTheme="minorHAnsi" w:hAnsiTheme="minorHAnsi" w:cstheme="minorHAnsi"/>
                <w:color w:val="000000"/>
                <w:spacing w:val="6"/>
                <w:sz w:val="20"/>
                <w:szCs w:val="20"/>
              </w:rPr>
            </w:pPr>
          </w:p>
          <w:p w:rsidRPr="00704C66" w:rsidR="00704C66" w:rsidP="00704C66" w:rsidRDefault="00704C66" w14:paraId="7EDEAC3D" w14:textId="53683D09">
            <w:pPr>
              <w:rPr>
                <w:rFonts w:asciiTheme="minorHAnsi" w:hAnsiTheme="minorHAnsi" w:cstheme="minorHAnsi"/>
                <w:sz w:val="20"/>
                <w:szCs w:val="20"/>
              </w:rPr>
            </w:pPr>
            <w:r w:rsidRPr="00704C66">
              <w:rPr>
                <w:rFonts w:eastAsia="Tahoma" w:asciiTheme="minorHAnsi" w:hAnsiTheme="minorHAnsi" w:cstheme="minorHAnsi"/>
                <w:color w:val="000000"/>
                <w:spacing w:val="6"/>
                <w:sz w:val="20"/>
                <w:szCs w:val="20"/>
              </w:rPr>
              <w:t xml:space="preserve">A political organization may be able to structure some grassroots activity that can be considered election-influencing. For example, a tv advertisement urging residents of state to call a Senator and (i) tell him how idiotic his proposal to do X is or (ii) thank him for his great support of a particular matter could be political if run close enough to an election in which the Senator is a candidate, </w:t>
            </w:r>
            <w:r w:rsidRPr="00704C66">
              <w:rPr>
                <w:rFonts w:eastAsia="Tahoma" w:asciiTheme="minorHAnsi" w:hAnsiTheme="minorHAnsi" w:cstheme="minorHAnsi"/>
                <w:i/>
                <w:color w:val="000000"/>
                <w:spacing w:val="6"/>
                <w:sz w:val="20"/>
                <w:szCs w:val="20"/>
              </w:rPr>
              <w:t>i.e.</w:t>
            </w:r>
            <w:r w:rsidRPr="00704C66">
              <w:rPr>
                <w:rFonts w:eastAsia="Tahoma" w:asciiTheme="minorHAnsi" w:hAnsiTheme="minorHAnsi" w:cstheme="minorHAnsi"/>
                <w:color w:val="000000"/>
                <w:spacing w:val="6"/>
                <w:sz w:val="20"/>
                <w:szCs w:val="20"/>
              </w:rPr>
              <w:t>, 30 days before a primary election or 60 days before a general election.  This would be considered an electioneering communication that would need to be reported to the FEC and could not be coordinated with the officeholder or candidate.</w:t>
            </w:r>
          </w:p>
        </w:tc>
        <w:tc>
          <w:tcPr>
            <w:tcW w:w="3550" w:type="dxa"/>
            <w:tcBorders>
              <w:bottom w:val="single" w:color="auto" w:sz="4" w:space="0"/>
            </w:tcBorders>
          </w:tcPr>
          <w:p w:rsidRPr="00704C66" w:rsidR="00704C66" w:rsidP="00704C66" w:rsidRDefault="00704C66" w14:paraId="3F829D24" w14:textId="05FA9E89">
            <w:pPr>
              <w:rPr>
                <w:rFonts w:asciiTheme="minorHAnsi" w:hAnsiTheme="minorHAnsi" w:cstheme="minorHAnsi"/>
                <w:sz w:val="20"/>
                <w:szCs w:val="20"/>
              </w:rPr>
            </w:pPr>
            <w:r>
              <w:rPr>
                <w:rFonts w:asciiTheme="minorHAnsi" w:hAnsiTheme="minorHAnsi" w:cstheme="minorHAnsi"/>
                <w:sz w:val="20"/>
                <w:szCs w:val="20"/>
              </w:rPr>
              <w:t xml:space="preserve">Permissible and considered exempt function activity not subject to tax. </w:t>
            </w:r>
          </w:p>
        </w:tc>
      </w:tr>
      <w:tr w:rsidR="00704C66" w14:paraId="3856749D" w14:textId="77777777">
        <w:trPr>
          <w:trHeight w:val="293"/>
        </w:trPr>
        <w:tc>
          <w:tcPr>
            <w:tcW w:w="3013" w:type="dxa"/>
          </w:tcPr>
          <w:p w:rsidRPr="00704C66" w:rsidR="00704C66" w:rsidP="00704C66" w:rsidRDefault="009606EC" w14:paraId="7EACEF2F" w14:textId="3790B76F">
            <w:pPr>
              <w:rPr>
                <w:rFonts w:asciiTheme="minorHAnsi" w:hAnsiTheme="minorHAnsi" w:cstheme="minorHAnsi"/>
                <w:b/>
                <w:sz w:val="20"/>
                <w:szCs w:val="20"/>
              </w:rPr>
            </w:pPr>
            <w:r>
              <w:rPr>
                <w:rFonts w:asciiTheme="minorHAnsi" w:hAnsiTheme="minorHAnsi" w:cstheme="minorHAnsi"/>
                <w:b/>
                <w:sz w:val="20"/>
                <w:szCs w:val="20"/>
              </w:rPr>
              <w:t xml:space="preserve">Independent Expenditures </w:t>
            </w:r>
          </w:p>
        </w:tc>
        <w:tc>
          <w:tcPr>
            <w:tcW w:w="3930" w:type="dxa"/>
            <w:gridSpan w:val="2"/>
          </w:tcPr>
          <w:p w:rsidRPr="00704C66" w:rsidR="00704C66" w:rsidP="00704C66" w:rsidRDefault="009606EC" w14:paraId="4B60D49C" w14:textId="624D74F6">
            <w:pPr>
              <w:rPr>
                <w:rFonts w:asciiTheme="minorHAnsi" w:hAnsiTheme="minorHAnsi" w:cstheme="minorHAnsi"/>
                <w:sz w:val="20"/>
                <w:szCs w:val="20"/>
              </w:rPr>
            </w:pPr>
            <w:r w:rsidRPr="009606EC">
              <w:rPr>
                <w:rFonts w:eastAsia="Tahoma" w:asciiTheme="minorHAnsi" w:hAnsiTheme="minorHAnsi" w:cstheme="minorHAnsi"/>
                <w:color w:val="000000"/>
                <w:sz w:val="20"/>
                <w:szCs w:val="20"/>
              </w:rPr>
              <w:t>Permissible provided that they are not coordinated with a candidate; contribution or “hard dollar” accounts do not typically engage in IEs because the IEA may do so using funds that are not subject to the limits of the hard dollar account.</w:t>
            </w:r>
          </w:p>
        </w:tc>
        <w:tc>
          <w:tcPr>
            <w:tcW w:w="3705" w:type="dxa"/>
            <w:gridSpan w:val="2"/>
          </w:tcPr>
          <w:p w:rsidRPr="00704C66" w:rsidR="00704C66" w:rsidP="00704C66" w:rsidRDefault="00704C66" w14:paraId="5CC94C4C" w14:textId="67FC153F">
            <w:pPr>
              <w:tabs>
                <w:tab w:val="center" w:pos="4680"/>
                <w:tab w:val="right" w:pos="9360"/>
              </w:tabs>
              <w:textAlignment w:val="baseline"/>
              <w:rPr>
                <w:rFonts w:eastAsia="Tahoma" w:asciiTheme="minorHAnsi" w:hAnsiTheme="minorHAnsi" w:cstheme="minorHAnsi"/>
                <w:color w:val="000000"/>
                <w:sz w:val="20"/>
                <w:szCs w:val="20"/>
              </w:rPr>
            </w:pPr>
            <w:r w:rsidRPr="00704C66">
              <w:rPr>
                <w:rFonts w:eastAsia="Tahoma" w:asciiTheme="minorHAnsi" w:hAnsiTheme="minorHAnsi" w:cstheme="minorHAnsi"/>
                <w:color w:val="000000"/>
                <w:sz w:val="20"/>
                <w:szCs w:val="20"/>
              </w:rPr>
              <w:t>Permissible</w:t>
            </w:r>
            <w:r w:rsidR="006620AC">
              <w:rPr>
                <w:rFonts w:eastAsia="Tahoma" w:asciiTheme="minorHAnsi" w:hAnsiTheme="minorHAnsi" w:cstheme="minorHAnsi"/>
                <w:color w:val="000000"/>
                <w:sz w:val="20"/>
                <w:szCs w:val="20"/>
              </w:rPr>
              <w:t xml:space="preserve">, </w:t>
            </w:r>
            <w:r w:rsidRPr="009606EC" w:rsidR="006620AC">
              <w:rPr>
                <w:rFonts w:eastAsia="Tahoma" w:asciiTheme="minorHAnsi" w:hAnsiTheme="minorHAnsi" w:cstheme="minorHAnsi"/>
                <w:color w:val="000000"/>
                <w:sz w:val="20"/>
                <w:szCs w:val="20"/>
              </w:rPr>
              <w:t>provided that they are not coordinated with a candidate</w:t>
            </w:r>
            <w:r w:rsidR="006620AC">
              <w:rPr>
                <w:rFonts w:eastAsia="Tahoma" w:asciiTheme="minorHAnsi" w:hAnsiTheme="minorHAnsi" w:cstheme="minorHAnsi"/>
                <w:color w:val="000000"/>
                <w:sz w:val="20"/>
                <w:szCs w:val="20"/>
              </w:rPr>
              <w:t xml:space="preserve">.  </w:t>
            </w:r>
          </w:p>
        </w:tc>
        <w:tc>
          <w:tcPr>
            <w:tcW w:w="3550" w:type="dxa"/>
          </w:tcPr>
          <w:p w:rsidRPr="00704C66" w:rsidR="00704C66" w:rsidP="00704C66" w:rsidRDefault="009606EC" w14:paraId="3180E178" w14:textId="67504603">
            <w:pPr>
              <w:rPr>
                <w:rFonts w:asciiTheme="minorHAnsi" w:hAnsiTheme="minorHAnsi" w:cstheme="minorHAnsi"/>
                <w:sz w:val="20"/>
                <w:szCs w:val="20"/>
              </w:rPr>
            </w:pPr>
            <w:r>
              <w:rPr>
                <w:rFonts w:asciiTheme="minorHAnsi" w:hAnsiTheme="minorHAnsi" w:cstheme="minorHAnsi"/>
                <w:sz w:val="20"/>
                <w:szCs w:val="20"/>
              </w:rPr>
              <w:t>Permissible, but m</w:t>
            </w:r>
            <w:r w:rsidRPr="00704C66">
              <w:rPr>
                <w:rFonts w:asciiTheme="minorHAnsi" w:hAnsiTheme="minorHAnsi" w:cstheme="minorHAnsi"/>
                <w:sz w:val="20"/>
                <w:szCs w:val="20"/>
              </w:rPr>
              <w:t>ay not be primary activity of organization; “political activity” (i.e. activity intended to influence an election) is treated as not serving an exempt purpose. Loss of tax-exempt status if political activity is primary activity.</w:t>
            </w:r>
            <w:r>
              <w:rPr>
                <w:rFonts w:asciiTheme="minorHAnsi" w:hAnsiTheme="minorHAnsi" w:cstheme="minorHAnsi"/>
                <w:sz w:val="20"/>
                <w:szCs w:val="20"/>
              </w:rPr>
              <w:t xml:space="preserve">  Donor disclosure required to FEC if organization receives contributions “earmarked” for political activity.   </w:t>
            </w:r>
          </w:p>
        </w:tc>
      </w:tr>
      <w:tr w:rsidR="00E51C97" w14:paraId="64AA2152" w14:textId="77777777">
        <w:trPr>
          <w:trHeight w:val="293"/>
        </w:trPr>
        <w:tc>
          <w:tcPr>
            <w:tcW w:w="3013" w:type="dxa"/>
          </w:tcPr>
          <w:p w:rsidRPr="00704C66" w:rsidR="00E51C97" w:rsidRDefault="00AA7288" w14:paraId="69C47EF8" w14:textId="05C1E0BA">
            <w:pPr>
              <w:rPr>
                <w:rFonts w:asciiTheme="minorHAnsi" w:hAnsiTheme="minorHAnsi" w:cstheme="minorHAnsi"/>
                <w:b/>
                <w:sz w:val="20"/>
                <w:szCs w:val="20"/>
              </w:rPr>
            </w:pPr>
            <w:r>
              <w:rPr>
                <w:rFonts w:asciiTheme="minorHAnsi" w:hAnsiTheme="minorHAnsi" w:cstheme="minorHAnsi"/>
                <w:b/>
                <w:sz w:val="20"/>
                <w:szCs w:val="20"/>
              </w:rPr>
              <w:lastRenderedPageBreak/>
              <w:t xml:space="preserve">Public Relations </w:t>
            </w:r>
          </w:p>
        </w:tc>
        <w:tc>
          <w:tcPr>
            <w:tcW w:w="3930" w:type="dxa"/>
            <w:gridSpan w:val="2"/>
          </w:tcPr>
          <w:p w:rsidRPr="00704C66" w:rsidR="00E51C97" w:rsidRDefault="00974563" w14:paraId="3247EBF4" w14:textId="7B3FCD11">
            <w:pPr>
              <w:spacing w:before="4"/>
              <w:ind w:left="144"/>
              <w:textAlignment w:val="baseline"/>
              <w:rPr>
                <w:rFonts w:asciiTheme="minorHAnsi" w:hAnsiTheme="minorHAnsi" w:cstheme="minorHAnsi"/>
                <w:sz w:val="20"/>
                <w:szCs w:val="20"/>
              </w:rPr>
            </w:pPr>
            <w:r w:rsidRPr="00704C66">
              <w:rPr>
                <w:rFonts w:asciiTheme="minorHAnsi" w:hAnsiTheme="minorHAnsi" w:cstheme="minorHAnsi"/>
                <w:sz w:val="20"/>
                <w:szCs w:val="20"/>
              </w:rPr>
              <w:t>Y</w:t>
            </w:r>
            <w:r w:rsidR="00AA7288">
              <w:rPr>
                <w:rFonts w:asciiTheme="minorHAnsi" w:hAnsiTheme="minorHAnsi" w:cstheme="minorHAnsi"/>
                <w:sz w:val="20"/>
                <w:szCs w:val="20"/>
              </w:rPr>
              <w:t>es</w:t>
            </w:r>
            <w:r w:rsidR="00AA7288">
              <w:rPr>
                <w:rFonts w:eastAsia="Tahoma" w:asciiTheme="minorHAnsi" w:hAnsiTheme="minorHAnsi" w:cstheme="minorHAnsi"/>
                <w:color w:val="000000"/>
                <w:sz w:val="20"/>
                <w:szCs w:val="20"/>
              </w:rPr>
              <w:t xml:space="preserve">, but depending on the subject it may not </w:t>
            </w:r>
            <w:r w:rsidRPr="00704C66" w:rsidR="00AA7288">
              <w:rPr>
                <w:rFonts w:eastAsia="Tahoma" w:asciiTheme="minorHAnsi" w:hAnsiTheme="minorHAnsi" w:cstheme="minorHAnsi"/>
                <w:color w:val="000000"/>
                <w:sz w:val="20"/>
                <w:szCs w:val="20"/>
              </w:rPr>
              <w:t xml:space="preserve">be election-influencing. If primary purpose </w:t>
            </w:r>
            <w:r w:rsidRPr="00704C66" w:rsidR="00AA7288">
              <w:rPr>
                <w:rFonts w:eastAsia="Tahoma" w:asciiTheme="minorHAnsi" w:hAnsiTheme="minorHAnsi" w:cstheme="minorHAnsi"/>
                <w:color w:val="000000"/>
                <w:spacing w:val="7"/>
                <w:sz w:val="20"/>
                <w:szCs w:val="20"/>
              </w:rPr>
              <w:t>of response or interview is protect/defend/attack a candidate or indirectly to help one or more candidates or potential candidates get re-elected (or to defeat them), activity may pass as attempting to influence an election.</w:t>
            </w:r>
          </w:p>
        </w:tc>
        <w:tc>
          <w:tcPr>
            <w:tcW w:w="3705" w:type="dxa"/>
            <w:gridSpan w:val="2"/>
          </w:tcPr>
          <w:p w:rsidRPr="00704C66" w:rsidR="00E51C97" w:rsidRDefault="00AA7288" w14:paraId="0C33ACC9" w14:textId="0A6239DA">
            <w:pPr>
              <w:tabs>
                <w:tab w:val="left" w:pos="5184"/>
              </w:tabs>
              <w:spacing w:before="12"/>
              <w:textAlignment w:val="baseline"/>
              <w:rPr>
                <w:rFonts w:eastAsia="Tahoma" w:asciiTheme="minorHAnsi" w:hAnsiTheme="minorHAnsi" w:cstheme="minorHAnsi"/>
                <w:color w:val="000000"/>
                <w:sz w:val="20"/>
                <w:szCs w:val="20"/>
              </w:rPr>
            </w:pPr>
            <w:r>
              <w:rPr>
                <w:rFonts w:eastAsia="Tahoma" w:asciiTheme="minorHAnsi" w:hAnsiTheme="minorHAnsi" w:cstheme="minorHAnsi"/>
                <w:color w:val="000000"/>
                <w:sz w:val="20"/>
                <w:szCs w:val="20"/>
              </w:rPr>
              <w:t xml:space="preserve">Yes, but depending on the subject it may not </w:t>
            </w:r>
            <w:r w:rsidRPr="00704C66">
              <w:rPr>
                <w:rFonts w:eastAsia="Tahoma" w:asciiTheme="minorHAnsi" w:hAnsiTheme="minorHAnsi" w:cstheme="minorHAnsi"/>
                <w:color w:val="000000"/>
                <w:sz w:val="20"/>
                <w:szCs w:val="20"/>
              </w:rPr>
              <w:t xml:space="preserve">be election-influencing. If primary purpose </w:t>
            </w:r>
            <w:r w:rsidRPr="00704C66">
              <w:rPr>
                <w:rFonts w:eastAsia="Tahoma" w:asciiTheme="minorHAnsi" w:hAnsiTheme="minorHAnsi" w:cstheme="minorHAnsi"/>
                <w:color w:val="000000"/>
                <w:spacing w:val="7"/>
                <w:sz w:val="20"/>
                <w:szCs w:val="20"/>
              </w:rPr>
              <w:t>of response or interview is protect/defend/attack a candidate or indirectly to help one or more candidates or potential candidates get re-elected (or to defeat them), activity may pass as attempting to influence an election.</w:t>
            </w:r>
          </w:p>
        </w:tc>
        <w:tc>
          <w:tcPr>
            <w:tcW w:w="3550" w:type="dxa"/>
          </w:tcPr>
          <w:p w:rsidRPr="00704C66" w:rsidR="00E51C97" w:rsidRDefault="00974563" w14:paraId="357856E3" w14:textId="77777777">
            <w:pPr>
              <w:rPr>
                <w:rFonts w:asciiTheme="minorHAnsi" w:hAnsiTheme="minorHAnsi" w:cstheme="minorHAnsi"/>
                <w:sz w:val="20"/>
                <w:szCs w:val="20"/>
              </w:rPr>
            </w:pPr>
            <w:r w:rsidRPr="00704C66">
              <w:rPr>
                <w:rFonts w:asciiTheme="minorHAnsi" w:hAnsiTheme="minorHAnsi" w:cstheme="minorHAnsi"/>
                <w:sz w:val="20"/>
                <w:szCs w:val="20"/>
              </w:rPr>
              <w:t>Yes.</w:t>
            </w:r>
          </w:p>
        </w:tc>
      </w:tr>
      <w:tr w:rsidR="00AA7288" w14:paraId="3FE8E62D" w14:textId="77777777">
        <w:trPr>
          <w:trHeight w:val="293"/>
        </w:trPr>
        <w:tc>
          <w:tcPr>
            <w:tcW w:w="3013" w:type="dxa"/>
          </w:tcPr>
          <w:p w:rsidRPr="00AA7288" w:rsidR="00AA7288" w:rsidP="00AA7288" w:rsidRDefault="00AA7288" w14:paraId="7C038C58" w14:textId="77777777">
            <w:pPr>
              <w:rPr>
                <w:rFonts w:asciiTheme="minorHAnsi" w:hAnsiTheme="minorHAnsi" w:cstheme="minorHAnsi"/>
                <w:b/>
                <w:sz w:val="20"/>
                <w:szCs w:val="20"/>
              </w:rPr>
            </w:pPr>
            <w:r w:rsidRPr="00AA7288">
              <w:rPr>
                <w:rFonts w:asciiTheme="minorHAnsi" w:hAnsiTheme="minorHAnsi" w:cstheme="minorHAnsi"/>
                <w:b/>
                <w:sz w:val="20"/>
                <w:szCs w:val="20"/>
              </w:rPr>
              <w:t>Polling</w:t>
            </w:r>
          </w:p>
          <w:p w:rsidRPr="00704C66" w:rsidR="00AA7288" w:rsidP="00AA7288" w:rsidRDefault="00AA7288" w14:paraId="3485D3C5" w14:textId="38DE8624">
            <w:pPr>
              <w:rPr>
                <w:rFonts w:asciiTheme="minorHAnsi" w:hAnsiTheme="minorHAnsi" w:cstheme="minorHAnsi"/>
                <w:b/>
                <w:sz w:val="20"/>
                <w:szCs w:val="20"/>
              </w:rPr>
            </w:pPr>
          </w:p>
        </w:tc>
        <w:tc>
          <w:tcPr>
            <w:tcW w:w="3930" w:type="dxa"/>
            <w:gridSpan w:val="2"/>
          </w:tcPr>
          <w:p w:rsidRPr="00704C66" w:rsidR="00AA7288" w:rsidRDefault="00AA7288" w14:paraId="0D1A0A4E" w14:textId="44E50C7F">
            <w:pPr>
              <w:spacing w:before="4"/>
              <w:ind w:left="144"/>
              <w:textAlignment w:val="baseline"/>
              <w:rPr>
                <w:rFonts w:asciiTheme="minorHAnsi" w:hAnsiTheme="minorHAnsi" w:cstheme="minorHAnsi"/>
                <w:sz w:val="20"/>
                <w:szCs w:val="20"/>
              </w:rPr>
            </w:pPr>
            <w:r>
              <w:rPr>
                <w:rFonts w:asciiTheme="minorHAnsi" w:hAnsiTheme="minorHAnsi" w:cstheme="minorHAnsi"/>
                <w:sz w:val="20"/>
                <w:szCs w:val="20"/>
              </w:rPr>
              <w:t xml:space="preserve">Permissible, but depending on the subject matter, it may not be electoral activity.  Polling to inform PAC contributions to candidates or other political expenditures such as IEs would be considered electoral. </w:t>
            </w:r>
          </w:p>
        </w:tc>
        <w:tc>
          <w:tcPr>
            <w:tcW w:w="3705" w:type="dxa"/>
            <w:gridSpan w:val="2"/>
          </w:tcPr>
          <w:p w:rsidRPr="00704C66" w:rsidR="00AA7288" w:rsidRDefault="00AA7288" w14:paraId="3B0A0EBB" w14:textId="2C2829F8">
            <w:pPr>
              <w:tabs>
                <w:tab w:val="left" w:pos="5184"/>
              </w:tabs>
              <w:spacing w:before="12"/>
              <w:textAlignment w:val="baseline"/>
              <w:rPr>
                <w:rFonts w:eastAsia="Tahoma" w:asciiTheme="minorHAnsi" w:hAnsiTheme="minorHAnsi" w:cstheme="minorHAnsi"/>
                <w:color w:val="000000"/>
                <w:sz w:val="20"/>
                <w:szCs w:val="20"/>
              </w:rPr>
            </w:pPr>
            <w:r>
              <w:rPr>
                <w:rFonts w:asciiTheme="minorHAnsi" w:hAnsiTheme="minorHAnsi" w:cstheme="minorHAnsi"/>
                <w:sz w:val="20"/>
                <w:szCs w:val="20"/>
              </w:rPr>
              <w:t>Permissible, but depending on the subject matter, it may not be electoral activity.  Polling to inform PAC contributions to candidates or other political expenditures such as IEs would be considered electoral.</w:t>
            </w:r>
          </w:p>
        </w:tc>
        <w:tc>
          <w:tcPr>
            <w:tcW w:w="3550" w:type="dxa"/>
          </w:tcPr>
          <w:p w:rsidRPr="00704C66" w:rsidR="00AA7288" w:rsidRDefault="00AA7288" w14:paraId="0BE3DED9" w14:textId="0DA2BD9A">
            <w:pPr>
              <w:rPr>
                <w:rFonts w:asciiTheme="minorHAnsi" w:hAnsiTheme="minorHAnsi" w:cstheme="minorHAnsi"/>
                <w:sz w:val="20"/>
                <w:szCs w:val="20"/>
              </w:rPr>
            </w:pPr>
            <w:r>
              <w:rPr>
                <w:rFonts w:asciiTheme="minorHAnsi" w:hAnsiTheme="minorHAnsi" w:cstheme="minorHAnsi"/>
                <w:sz w:val="20"/>
                <w:szCs w:val="20"/>
              </w:rPr>
              <w:t xml:space="preserve">Permissible, but depending on the subject matter, it may be considered “political” activity, which cannot be the organization’s primary purpose.  See above.  </w:t>
            </w:r>
          </w:p>
        </w:tc>
      </w:tr>
      <w:tr w:rsidR="00AA7288" w14:paraId="2D03F599" w14:textId="77777777">
        <w:trPr>
          <w:trHeight w:val="293"/>
        </w:trPr>
        <w:tc>
          <w:tcPr>
            <w:tcW w:w="3013" w:type="dxa"/>
          </w:tcPr>
          <w:p w:rsidRPr="00AA7288" w:rsidR="00AA7288" w:rsidP="00AA7288" w:rsidRDefault="00AA7288" w14:paraId="08E10DFC" w14:textId="15AB45E6">
            <w:pPr>
              <w:rPr>
                <w:rFonts w:asciiTheme="minorHAnsi" w:hAnsiTheme="minorHAnsi" w:cstheme="minorHAnsi"/>
                <w:b/>
                <w:sz w:val="20"/>
                <w:szCs w:val="20"/>
              </w:rPr>
            </w:pPr>
            <w:r w:rsidRPr="00AA7288">
              <w:rPr>
                <w:rFonts w:asciiTheme="minorHAnsi" w:hAnsiTheme="minorHAnsi" w:cstheme="minorHAnsi"/>
                <w:b/>
                <w:sz w:val="20"/>
                <w:szCs w:val="20"/>
              </w:rPr>
              <w:t>Sponsor Students to come to DC to Lobby</w:t>
            </w:r>
          </w:p>
        </w:tc>
        <w:tc>
          <w:tcPr>
            <w:tcW w:w="3930" w:type="dxa"/>
            <w:gridSpan w:val="2"/>
          </w:tcPr>
          <w:p w:rsidRPr="00704C66" w:rsidR="00AA7288" w:rsidRDefault="00AA7288" w14:paraId="3CE221F0" w14:textId="18822B56">
            <w:pPr>
              <w:spacing w:before="4"/>
              <w:ind w:left="144"/>
              <w:textAlignment w:val="baseline"/>
              <w:rPr>
                <w:rFonts w:asciiTheme="minorHAnsi" w:hAnsiTheme="minorHAnsi" w:cstheme="minorHAnsi"/>
                <w:sz w:val="20"/>
                <w:szCs w:val="20"/>
              </w:rPr>
            </w:pPr>
            <w:r w:rsidRPr="00704C66">
              <w:rPr>
                <w:rFonts w:eastAsia="Tahoma" w:asciiTheme="minorHAnsi" w:hAnsiTheme="minorHAnsi" w:cstheme="minorHAnsi"/>
                <w:color w:val="000000"/>
                <w:spacing w:val="5"/>
                <w:sz w:val="20"/>
                <w:szCs w:val="20"/>
              </w:rPr>
              <w:t>Expenditures used for such activity would be subject to tax</w:t>
            </w:r>
            <w:r w:rsidR="00E940D9">
              <w:rPr>
                <w:rFonts w:eastAsia="Tahoma" w:asciiTheme="minorHAnsi" w:hAnsiTheme="minorHAnsi" w:cstheme="minorHAnsi"/>
                <w:color w:val="000000"/>
                <w:spacing w:val="5"/>
                <w:sz w:val="20"/>
                <w:szCs w:val="20"/>
              </w:rPr>
              <w:t xml:space="preserve"> (see issue advocacy)</w:t>
            </w:r>
            <w:r>
              <w:rPr>
                <w:rFonts w:eastAsia="Tahoma" w:asciiTheme="minorHAnsi" w:hAnsiTheme="minorHAnsi" w:cstheme="minorHAnsi"/>
                <w:color w:val="000000"/>
                <w:spacing w:val="5"/>
                <w:sz w:val="20"/>
                <w:szCs w:val="20"/>
              </w:rPr>
              <w:t xml:space="preserve">.  Sponsoring students to attend an FSPAC fundraiser would not be subject to tax.  </w:t>
            </w:r>
          </w:p>
        </w:tc>
        <w:tc>
          <w:tcPr>
            <w:tcW w:w="3705" w:type="dxa"/>
            <w:gridSpan w:val="2"/>
          </w:tcPr>
          <w:p w:rsidRPr="00704C66" w:rsidR="00AA7288" w:rsidRDefault="00AA7288" w14:paraId="4A3CC02A" w14:textId="3CD095B6">
            <w:pPr>
              <w:tabs>
                <w:tab w:val="left" w:pos="5184"/>
              </w:tabs>
              <w:spacing w:before="12"/>
              <w:textAlignment w:val="baseline"/>
              <w:rPr>
                <w:rFonts w:eastAsia="Tahoma" w:asciiTheme="minorHAnsi" w:hAnsiTheme="minorHAnsi" w:cstheme="minorHAnsi"/>
                <w:color w:val="000000"/>
                <w:sz w:val="20"/>
                <w:szCs w:val="20"/>
              </w:rPr>
            </w:pPr>
            <w:r w:rsidRPr="00704C66">
              <w:rPr>
                <w:rFonts w:eastAsia="Tahoma" w:asciiTheme="minorHAnsi" w:hAnsiTheme="minorHAnsi" w:cstheme="minorHAnsi"/>
                <w:color w:val="000000"/>
                <w:spacing w:val="5"/>
                <w:sz w:val="20"/>
                <w:szCs w:val="20"/>
              </w:rPr>
              <w:t xml:space="preserve">Expenditures used for such activity would be subject to </w:t>
            </w:r>
            <w:r w:rsidR="00974563">
              <w:rPr>
                <w:rFonts w:eastAsia="Tahoma" w:asciiTheme="minorHAnsi" w:hAnsiTheme="minorHAnsi" w:cstheme="minorHAnsi"/>
                <w:color w:val="000000"/>
                <w:spacing w:val="5"/>
                <w:sz w:val="20"/>
                <w:szCs w:val="20"/>
              </w:rPr>
              <w:t xml:space="preserve">tax </w:t>
            </w:r>
            <w:r w:rsidR="00E940D9">
              <w:rPr>
                <w:rFonts w:eastAsia="Tahoma" w:asciiTheme="minorHAnsi" w:hAnsiTheme="minorHAnsi" w:cstheme="minorHAnsi"/>
                <w:color w:val="000000"/>
                <w:spacing w:val="5"/>
                <w:sz w:val="20"/>
                <w:szCs w:val="20"/>
              </w:rPr>
              <w:t>(see issue advocacy)</w:t>
            </w:r>
            <w:r w:rsidRPr="00704C66">
              <w:rPr>
                <w:rFonts w:eastAsia="Tahoma" w:asciiTheme="minorHAnsi" w:hAnsiTheme="minorHAnsi" w:cstheme="minorHAnsi"/>
                <w:color w:val="000000"/>
                <w:spacing w:val="5"/>
                <w:sz w:val="20"/>
                <w:szCs w:val="20"/>
              </w:rPr>
              <w:t>.</w:t>
            </w:r>
            <w:r w:rsidR="00E940D9">
              <w:rPr>
                <w:rFonts w:eastAsia="Tahoma" w:asciiTheme="minorHAnsi" w:hAnsiTheme="minorHAnsi" w:cstheme="minorHAnsi"/>
                <w:color w:val="000000"/>
                <w:spacing w:val="5"/>
                <w:sz w:val="20"/>
                <w:szCs w:val="20"/>
              </w:rPr>
              <w:t xml:space="preserve"> Sponsoring students to attend an FSPAC fundraiser would not be subject to tax.</w:t>
            </w:r>
          </w:p>
        </w:tc>
        <w:tc>
          <w:tcPr>
            <w:tcW w:w="3550" w:type="dxa"/>
          </w:tcPr>
          <w:p w:rsidRPr="00704C66" w:rsidR="00AA7288" w:rsidRDefault="00AA7288" w14:paraId="17A4EC25" w14:textId="4F0D904B">
            <w:pPr>
              <w:rPr>
                <w:rFonts w:asciiTheme="minorHAnsi" w:hAnsiTheme="minorHAnsi" w:cstheme="minorHAnsi"/>
                <w:sz w:val="20"/>
                <w:szCs w:val="20"/>
              </w:rPr>
            </w:pPr>
            <w:r>
              <w:rPr>
                <w:rFonts w:eastAsia="Tahoma" w:asciiTheme="minorHAnsi" w:hAnsiTheme="minorHAnsi" w:cstheme="minorHAnsi"/>
                <w:color w:val="000000"/>
                <w:spacing w:val="5"/>
                <w:sz w:val="20"/>
                <w:szCs w:val="20"/>
              </w:rPr>
              <w:t xml:space="preserve">Permissible.  </w:t>
            </w:r>
          </w:p>
        </w:tc>
      </w:tr>
      <w:tr w:rsidR="00E940D9" w14:paraId="50E7D3D0" w14:textId="77777777">
        <w:trPr>
          <w:trHeight w:val="293"/>
        </w:trPr>
        <w:tc>
          <w:tcPr>
            <w:tcW w:w="3013" w:type="dxa"/>
          </w:tcPr>
          <w:p w:rsidR="00E940D9" w:rsidP="00AA7288" w:rsidRDefault="00E940D9" w14:paraId="0F07F30A" w14:textId="77777777">
            <w:pPr>
              <w:rPr>
                <w:rFonts w:asciiTheme="minorHAnsi" w:hAnsiTheme="minorHAnsi" w:cstheme="minorHAnsi"/>
                <w:b/>
                <w:sz w:val="20"/>
                <w:szCs w:val="20"/>
              </w:rPr>
            </w:pPr>
            <w:r>
              <w:rPr>
                <w:rFonts w:asciiTheme="minorHAnsi" w:hAnsiTheme="minorHAnsi" w:cstheme="minorHAnsi"/>
                <w:b/>
                <w:sz w:val="20"/>
                <w:szCs w:val="20"/>
              </w:rPr>
              <w:t xml:space="preserve">Legal Defense Fund </w:t>
            </w:r>
          </w:p>
          <w:p w:rsidRPr="00AA7288" w:rsidR="003A4FCC" w:rsidP="00AA7288" w:rsidRDefault="003A4FCC" w14:paraId="523F77F3" w14:textId="2287DED5">
            <w:pPr>
              <w:rPr>
                <w:rFonts w:asciiTheme="minorHAnsi" w:hAnsiTheme="minorHAnsi" w:cstheme="minorHAnsi"/>
                <w:b/>
                <w:sz w:val="20"/>
                <w:szCs w:val="20"/>
              </w:rPr>
            </w:pPr>
            <w:r>
              <w:rPr>
                <w:rFonts w:asciiTheme="minorHAnsi" w:hAnsiTheme="minorHAnsi" w:cstheme="minorHAnsi"/>
                <w:b/>
                <w:sz w:val="20"/>
                <w:szCs w:val="20"/>
              </w:rPr>
              <w:t xml:space="preserve">(impact litigation related to policy issues) </w:t>
            </w:r>
          </w:p>
        </w:tc>
        <w:tc>
          <w:tcPr>
            <w:tcW w:w="3930" w:type="dxa"/>
            <w:gridSpan w:val="2"/>
          </w:tcPr>
          <w:p w:rsidRPr="00704C66" w:rsidR="00E940D9" w:rsidP="00E940D9" w:rsidRDefault="00E940D9" w14:paraId="67E99585" w14:textId="3F79562B">
            <w:pPr>
              <w:spacing w:before="4"/>
              <w:textAlignment w:val="baseline"/>
              <w:rPr>
                <w:rFonts w:eastAsia="Tahoma" w:asciiTheme="minorHAnsi" w:hAnsiTheme="minorHAnsi" w:cstheme="minorHAnsi"/>
                <w:color w:val="000000"/>
                <w:spacing w:val="5"/>
                <w:sz w:val="20"/>
                <w:szCs w:val="20"/>
              </w:rPr>
            </w:pPr>
            <w:r w:rsidRPr="00704C66">
              <w:rPr>
                <w:rFonts w:eastAsia="Tahoma" w:asciiTheme="minorHAnsi" w:hAnsiTheme="minorHAnsi" w:cstheme="minorHAnsi"/>
                <w:color w:val="000000"/>
                <w:spacing w:val="5"/>
                <w:sz w:val="20"/>
                <w:szCs w:val="20"/>
              </w:rPr>
              <w:t>Expenditures used for such activity would be subject to tax</w:t>
            </w:r>
            <w:r>
              <w:rPr>
                <w:rFonts w:eastAsia="Tahoma" w:asciiTheme="minorHAnsi" w:hAnsiTheme="minorHAnsi" w:cstheme="minorHAnsi"/>
                <w:color w:val="000000"/>
                <w:spacing w:val="5"/>
                <w:sz w:val="20"/>
                <w:szCs w:val="20"/>
              </w:rPr>
              <w:t xml:space="preserve"> (see issue advocacy).</w:t>
            </w:r>
          </w:p>
        </w:tc>
        <w:tc>
          <w:tcPr>
            <w:tcW w:w="3705" w:type="dxa"/>
            <w:gridSpan w:val="2"/>
          </w:tcPr>
          <w:p w:rsidRPr="00704C66" w:rsidR="00E940D9" w:rsidRDefault="00E940D9" w14:paraId="0719ECE8" w14:textId="5BAE261E">
            <w:pPr>
              <w:tabs>
                <w:tab w:val="left" w:pos="5184"/>
              </w:tabs>
              <w:spacing w:before="12"/>
              <w:textAlignment w:val="baseline"/>
              <w:rPr>
                <w:rFonts w:eastAsia="Tahoma" w:asciiTheme="minorHAnsi" w:hAnsiTheme="minorHAnsi" w:cstheme="minorHAnsi"/>
                <w:color w:val="000000"/>
                <w:spacing w:val="5"/>
                <w:sz w:val="20"/>
                <w:szCs w:val="20"/>
              </w:rPr>
            </w:pPr>
            <w:r w:rsidRPr="00704C66">
              <w:rPr>
                <w:rFonts w:eastAsia="Tahoma" w:asciiTheme="minorHAnsi" w:hAnsiTheme="minorHAnsi" w:cstheme="minorHAnsi"/>
                <w:color w:val="000000"/>
                <w:spacing w:val="5"/>
                <w:sz w:val="20"/>
                <w:szCs w:val="20"/>
              </w:rPr>
              <w:t>Expenditures used for such activity would be subject to tax</w:t>
            </w:r>
            <w:r>
              <w:rPr>
                <w:rFonts w:eastAsia="Tahoma" w:asciiTheme="minorHAnsi" w:hAnsiTheme="minorHAnsi" w:cstheme="minorHAnsi"/>
                <w:color w:val="000000"/>
                <w:spacing w:val="5"/>
                <w:sz w:val="20"/>
                <w:szCs w:val="20"/>
              </w:rPr>
              <w:t xml:space="preserve"> (see issue advocacy).</w:t>
            </w:r>
          </w:p>
        </w:tc>
        <w:tc>
          <w:tcPr>
            <w:tcW w:w="3550" w:type="dxa"/>
          </w:tcPr>
          <w:p w:rsidR="00E940D9" w:rsidRDefault="00E940D9" w14:paraId="08A22EBE" w14:textId="2C0F20CF">
            <w:pPr>
              <w:rPr>
                <w:rFonts w:eastAsia="Tahoma" w:asciiTheme="minorHAnsi" w:hAnsiTheme="minorHAnsi" w:cstheme="minorHAnsi"/>
                <w:color w:val="000000"/>
                <w:spacing w:val="5"/>
                <w:sz w:val="20"/>
                <w:szCs w:val="20"/>
              </w:rPr>
            </w:pPr>
            <w:r>
              <w:rPr>
                <w:rFonts w:eastAsia="Tahoma" w:asciiTheme="minorHAnsi" w:hAnsiTheme="minorHAnsi" w:cstheme="minorHAnsi"/>
                <w:color w:val="000000"/>
                <w:spacing w:val="5"/>
                <w:sz w:val="20"/>
                <w:szCs w:val="20"/>
              </w:rPr>
              <w:t xml:space="preserve">Permissible. </w:t>
            </w:r>
          </w:p>
        </w:tc>
      </w:tr>
    </w:tbl>
    <w:p w:rsidR="00E51C97" w:rsidRDefault="00E51C97" w14:paraId="6DCD4557" w14:textId="77777777">
      <w:pPr>
        <w:rPr>
          <w:rFonts w:ascii="Georgia" w:hAnsi="Georgia"/>
        </w:rPr>
      </w:pPr>
    </w:p>
    <w:sectPr w:rsidR="00E51C97">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5272" w:rsidRDefault="00455272" w14:paraId="67224A80" w14:textId="77777777">
      <w:r>
        <w:separator/>
      </w:r>
    </w:p>
  </w:endnote>
  <w:endnote w:type="continuationSeparator" w:id="0">
    <w:p w:rsidR="00455272" w:rsidRDefault="00455272" w14:paraId="397A86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4008" w:rsidRDefault="009B4008" w14:paraId="01BDFA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4008" w:rsidRDefault="009B4008" w14:paraId="0A8A7A8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C97" w:rsidRDefault="00974563" w14:paraId="705809D9" w14:textId="77777777">
    <w:pPr>
      <w:pStyle w:val="Footer"/>
    </w:pPr>
    <w:r>
      <w:fldChar w:fldCharType="begin"/>
    </w:r>
    <w:r>
      <w:instrText xml:space="preserve"> DOCPROPERTY "DOCID" \* MERGEFORMAT </w:instrText>
    </w:r>
    <w:r>
      <w:fldChar w:fldCharType="separate"/>
    </w:r>
    <w:r>
      <w:rPr>
        <w:b/>
        <w:bC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5272" w:rsidRDefault="00455272" w14:paraId="21E9C372" w14:textId="77777777">
      <w:r>
        <w:separator/>
      </w:r>
    </w:p>
  </w:footnote>
  <w:footnote w:type="continuationSeparator" w:id="0">
    <w:p w:rsidR="00455272" w:rsidRDefault="00455272" w14:paraId="15E0C098" w14:textId="77777777">
      <w:r>
        <w:separator/>
      </w:r>
    </w:p>
    <w:p w:rsidR="00455272" w:rsidRDefault="00455272" w14:paraId="6A4946C1" w14:textId="77777777">
      <w:pPr>
        <w:rPr>
          <w:sz w:val="18"/>
          <w:szCs w:val="18"/>
        </w:rPr>
      </w:pPr>
      <w:r>
        <w:rPr>
          <w:sz w:val="18"/>
          <w:szCs w:val="18"/>
        </w:rPr>
        <w:t>Footnote continued from previous page</w:t>
      </w:r>
    </w:p>
  </w:footnote>
  <w:footnote w:type="continuationNotice" w:id="1">
    <w:p w:rsidR="00455272" w:rsidRDefault="00455272" w14:paraId="78BFA506" w14:textId="77777777">
      <w:pPr>
        <w:jc w:val="right"/>
        <w:rPr>
          <w:sz w:val="18"/>
          <w:szCs w:val="18"/>
        </w:rPr>
      </w:pPr>
      <w:r>
        <w:rPr>
          <w:sz w:val="18"/>
          <w:szCs w:val="18"/>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4008" w:rsidRDefault="009B4008" w14:paraId="0F124D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C97" w:rsidRDefault="00974563" w14:paraId="341603FF" w14:textId="77777777">
    <w:pPr>
      <w:pStyle w:val="Header"/>
      <w:rPr>
        <w:rFonts w:ascii="Cambria" w:hAnsi="Cambria"/>
        <w:sz w:val="20"/>
      </w:rPr>
    </w:pPr>
    <w:r>
      <w:rPr>
        <w:rFonts w:ascii="Cambria" w:hAnsi="Cambria"/>
        <w:sz w:val="20"/>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4008" w:rsidRDefault="009B4008" w14:paraId="798673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22C771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1D7C7FD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7F6E13"/>
    <w:multiLevelType w:val="multilevel"/>
    <w:tmpl w:val="254E7A64"/>
    <w:name w:val="AP Default Numbering Scheme"/>
    <w:lvl w:ilvl="0">
      <w:start w:val="1"/>
      <w:numFmt w:val="upperRoman"/>
      <w:pStyle w:val="Heading1"/>
      <w:lvlText w:val="%1."/>
      <w:lvlJc w:val="left"/>
      <w:pPr>
        <w:tabs>
          <w:tab w:val="num" w:pos="720"/>
        </w:tabs>
        <w:ind w:left="720" w:hanging="720"/>
      </w:pPr>
      <w:rPr>
        <w:color w:val="010000"/>
        <w:u w:val="none"/>
      </w:rPr>
    </w:lvl>
    <w:lvl w:ilvl="1">
      <w:start w:val="1"/>
      <w:numFmt w:val="upperLetter"/>
      <w:pStyle w:val="Heading2"/>
      <w:lvlText w:val="%2."/>
      <w:lvlJc w:val="left"/>
      <w:pPr>
        <w:tabs>
          <w:tab w:val="num" w:pos="1440"/>
        </w:tabs>
        <w:ind w:left="1440" w:hanging="720"/>
      </w:pPr>
      <w:rPr>
        <w:color w:val="010000"/>
        <w:u w:val="none"/>
      </w:rPr>
    </w:lvl>
    <w:lvl w:ilvl="2">
      <w:start w:val="1"/>
      <w:numFmt w:val="decimal"/>
      <w:pStyle w:val="Heading3"/>
      <w:lvlText w:val="%3."/>
      <w:lvlJc w:val="left"/>
      <w:pPr>
        <w:tabs>
          <w:tab w:val="num" w:pos="2160"/>
        </w:tabs>
        <w:ind w:left="2160" w:hanging="720"/>
      </w:pPr>
      <w:rPr>
        <w:color w:val="010000"/>
        <w:u w:val="none"/>
      </w:rPr>
    </w:lvl>
    <w:lvl w:ilvl="3">
      <w:start w:val="1"/>
      <w:numFmt w:val="lowerLetter"/>
      <w:pStyle w:val="Heading4"/>
      <w:lvlText w:val="%4."/>
      <w:lvlJc w:val="left"/>
      <w:pPr>
        <w:tabs>
          <w:tab w:val="num" w:pos="2880"/>
        </w:tabs>
        <w:ind w:left="2880" w:hanging="720"/>
      </w:pPr>
      <w:rPr>
        <w:color w:val="010000"/>
        <w:u w:val="none"/>
      </w:rPr>
    </w:lvl>
    <w:lvl w:ilvl="4">
      <w:start w:val="1"/>
      <w:numFmt w:val="lowerRoman"/>
      <w:pStyle w:val="Heading5"/>
      <w:lvlText w:val="(%5)"/>
      <w:lvlJc w:val="left"/>
      <w:pPr>
        <w:tabs>
          <w:tab w:val="num" w:pos="3600"/>
        </w:tabs>
        <w:ind w:left="3600" w:hanging="715"/>
      </w:pPr>
      <w:rPr>
        <w:color w:val="010000"/>
        <w:u w:val="none"/>
      </w:rPr>
    </w:lvl>
    <w:lvl w:ilvl="5">
      <w:start w:val="1"/>
      <w:numFmt w:val="lowerLetter"/>
      <w:pStyle w:val="Heading6"/>
      <w:lvlText w:val="(%6)"/>
      <w:lvlJc w:val="left"/>
      <w:pPr>
        <w:tabs>
          <w:tab w:val="num" w:pos="4325"/>
        </w:tabs>
        <w:ind w:left="4325" w:hanging="720"/>
      </w:pPr>
      <w:rPr>
        <w:color w:val="010000"/>
        <w:u w:val="none"/>
      </w:rPr>
    </w:lvl>
    <w:lvl w:ilvl="6">
      <w:start w:val="1"/>
      <w:numFmt w:val="upperRoman"/>
      <w:pStyle w:val="Heading7"/>
      <w:lvlText w:val="(%7)"/>
      <w:lvlJc w:val="left"/>
      <w:pPr>
        <w:tabs>
          <w:tab w:val="num" w:pos="5040"/>
        </w:tabs>
        <w:ind w:left="5040" w:hanging="720"/>
      </w:pPr>
      <w:rPr>
        <w:color w:val="010000"/>
        <w:u w:val="none"/>
      </w:rPr>
    </w:lvl>
    <w:lvl w:ilvl="7">
      <w:start w:val="1"/>
      <w:numFmt w:val="upperLetter"/>
      <w:pStyle w:val="Heading8"/>
      <w:lvlText w:val="(%8)"/>
      <w:lvlJc w:val="left"/>
      <w:pPr>
        <w:tabs>
          <w:tab w:val="num" w:pos="5760"/>
        </w:tabs>
        <w:ind w:left="5760" w:hanging="720"/>
      </w:pPr>
      <w:rPr>
        <w:color w:val="010000"/>
        <w:u w:val="none"/>
      </w:rPr>
    </w:lvl>
    <w:lvl w:ilvl="8">
      <w:start w:val="1"/>
      <w:numFmt w:val="decimal"/>
      <w:pStyle w:val="Heading9"/>
      <w:lvlText w:val="(%9)"/>
      <w:lvlJc w:val="left"/>
      <w:pPr>
        <w:tabs>
          <w:tab w:val="num" w:pos="6480"/>
        </w:tabs>
        <w:ind w:left="6480" w:hanging="720"/>
      </w:pPr>
      <w:rPr>
        <w:color w:val="010000"/>
        <w:u w:val="none"/>
      </w:rPr>
    </w:lvl>
  </w:abstractNum>
  <w:abstractNum w:abstractNumId="3" w15:restartNumberingAfterBreak="0">
    <w:nsid w:val="6053162A"/>
    <w:multiLevelType w:val="multilevel"/>
    <w:tmpl w:val="A32C47F0"/>
    <w:lvl w:ilvl="0">
      <w:start w:val="1"/>
      <w:numFmt w:val="upperRoman"/>
      <w:lvlText w:val="%1."/>
      <w:lvlJc w:val="left"/>
      <w:pPr>
        <w:tabs>
          <w:tab w:val="num" w:pos="720"/>
        </w:tabs>
        <w:ind w:left="720" w:hanging="720"/>
      </w:pPr>
      <w:rPr>
        <w:rFonts w:hint="default"/>
        <w:color w:val="auto"/>
        <w:u w:val="none"/>
      </w:rPr>
    </w:lvl>
    <w:lvl w:ilvl="1">
      <w:start w:val="1"/>
      <w:numFmt w:val="upperLetter"/>
      <w:lvlText w:val="%2."/>
      <w:lvlJc w:val="left"/>
      <w:pPr>
        <w:tabs>
          <w:tab w:val="num" w:pos="1440"/>
        </w:tabs>
        <w:ind w:left="1440" w:hanging="720"/>
      </w:pPr>
      <w:rPr>
        <w:rFonts w:hint="default"/>
        <w:color w:val="auto"/>
        <w:u w:val="none"/>
      </w:rPr>
    </w:lvl>
    <w:lvl w:ilvl="2">
      <w:start w:val="1"/>
      <w:numFmt w:val="decimal"/>
      <w:lvlText w:val="%3."/>
      <w:lvlJc w:val="left"/>
      <w:pPr>
        <w:tabs>
          <w:tab w:val="num" w:pos="2160"/>
        </w:tabs>
        <w:ind w:left="2160" w:hanging="720"/>
      </w:pPr>
      <w:rPr>
        <w:rFonts w:hint="default"/>
        <w:color w:val="auto"/>
        <w:u w:val="none"/>
      </w:rPr>
    </w:lvl>
    <w:lvl w:ilvl="3">
      <w:start w:val="1"/>
      <w:numFmt w:val="lowerLetter"/>
      <w:lvlText w:val="%4."/>
      <w:lvlJc w:val="left"/>
      <w:pPr>
        <w:tabs>
          <w:tab w:val="num" w:pos="2880"/>
        </w:tabs>
        <w:ind w:left="2880" w:hanging="720"/>
      </w:pPr>
      <w:rPr>
        <w:rFonts w:hint="default"/>
        <w:color w:val="auto"/>
        <w:u w:val="none"/>
      </w:rPr>
    </w:lvl>
    <w:lvl w:ilvl="4">
      <w:start w:val="1"/>
      <w:numFmt w:val="lowerRoman"/>
      <w:lvlText w:val="(%5)"/>
      <w:lvlJc w:val="left"/>
      <w:pPr>
        <w:tabs>
          <w:tab w:val="num" w:pos="3600"/>
        </w:tabs>
        <w:ind w:left="3600" w:hanging="715"/>
      </w:pPr>
      <w:rPr>
        <w:rFonts w:hint="default"/>
        <w:color w:val="auto"/>
        <w:u w:val="none"/>
      </w:rPr>
    </w:lvl>
    <w:lvl w:ilvl="5">
      <w:start w:val="1"/>
      <w:numFmt w:val="lowerLetter"/>
      <w:lvlText w:val="(%6)"/>
      <w:lvlJc w:val="left"/>
      <w:pPr>
        <w:tabs>
          <w:tab w:val="num" w:pos="4325"/>
        </w:tabs>
        <w:ind w:left="4325" w:hanging="720"/>
      </w:pPr>
      <w:rPr>
        <w:rFonts w:hint="default"/>
        <w:color w:val="auto"/>
        <w:u w:val="none"/>
      </w:rPr>
    </w:lvl>
    <w:lvl w:ilvl="6">
      <w:start w:val="1"/>
      <w:numFmt w:val="upperRoman"/>
      <w:lvlText w:val="(%7)"/>
      <w:lvlJc w:val="left"/>
      <w:pPr>
        <w:tabs>
          <w:tab w:val="num" w:pos="5040"/>
        </w:tabs>
        <w:ind w:left="5040" w:hanging="720"/>
      </w:pPr>
      <w:rPr>
        <w:rFonts w:hint="default"/>
        <w:color w:val="auto"/>
        <w:u w:val="none"/>
      </w:rPr>
    </w:lvl>
    <w:lvl w:ilvl="7">
      <w:start w:val="1"/>
      <w:numFmt w:val="upperLetter"/>
      <w:lvlText w:val="(%8)"/>
      <w:lvlJc w:val="left"/>
      <w:pPr>
        <w:tabs>
          <w:tab w:val="num" w:pos="5760"/>
        </w:tabs>
        <w:ind w:left="5760" w:hanging="720"/>
      </w:pPr>
      <w:rPr>
        <w:rFonts w:hint="default"/>
        <w:color w:val="auto"/>
        <w:u w:val="none"/>
      </w:rPr>
    </w:lvl>
    <w:lvl w:ilvl="8">
      <w:start w:val="1"/>
      <w:numFmt w:val="decimal"/>
      <w:lvlText w:val="(%9)"/>
      <w:lvlJc w:val="left"/>
      <w:pPr>
        <w:tabs>
          <w:tab w:val="num" w:pos="6480"/>
        </w:tabs>
        <w:ind w:left="6480" w:hanging="720"/>
      </w:pPr>
      <w:rPr>
        <w:rFonts w:hint="default"/>
        <w:color w:val="auto"/>
        <w:u w:val="none"/>
      </w:rPr>
    </w:lvl>
  </w:abstractNum>
  <w:num w:numId="1" w16cid:durableId="496189635">
    <w:abstractNumId w:val="3"/>
  </w:num>
  <w:num w:numId="2" w16cid:durableId="2008362124">
    <w:abstractNumId w:val="3"/>
  </w:num>
  <w:num w:numId="3" w16cid:durableId="181625816">
    <w:abstractNumId w:val="3"/>
  </w:num>
  <w:num w:numId="4" w16cid:durableId="370148909">
    <w:abstractNumId w:val="3"/>
  </w:num>
  <w:num w:numId="5" w16cid:durableId="360133124">
    <w:abstractNumId w:val="3"/>
  </w:num>
  <w:num w:numId="6" w16cid:durableId="1766337757">
    <w:abstractNumId w:val="3"/>
  </w:num>
  <w:num w:numId="7" w16cid:durableId="1071734204">
    <w:abstractNumId w:val="3"/>
  </w:num>
  <w:num w:numId="8" w16cid:durableId="112672285">
    <w:abstractNumId w:val="3"/>
  </w:num>
  <w:num w:numId="9" w16cid:durableId="476727241">
    <w:abstractNumId w:val="3"/>
  </w:num>
  <w:num w:numId="10" w16cid:durableId="931089449">
    <w:abstractNumId w:val="1"/>
  </w:num>
  <w:num w:numId="11" w16cid:durableId="1164318923">
    <w:abstractNumId w:val="1"/>
  </w:num>
  <w:num w:numId="12" w16cid:durableId="758603112">
    <w:abstractNumId w:val="3"/>
  </w:num>
  <w:num w:numId="13" w16cid:durableId="246036972">
    <w:abstractNumId w:val="3"/>
  </w:num>
  <w:num w:numId="14" w16cid:durableId="53355139">
    <w:abstractNumId w:val="3"/>
  </w:num>
  <w:num w:numId="15" w16cid:durableId="723216380">
    <w:abstractNumId w:val="3"/>
  </w:num>
  <w:num w:numId="16" w16cid:durableId="114760893">
    <w:abstractNumId w:val="3"/>
  </w:num>
  <w:num w:numId="17" w16cid:durableId="637105312">
    <w:abstractNumId w:val="3"/>
  </w:num>
  <w:num w:numId="18" w16cid:durableId="332612679">
    <w:abstractNumId w:val="3"/>
  </w:num>
  <w:num w:numId="19" w16cid:durableId="948045322">
    <w:abstractNumId w:val="3"/>
  </w:num>
  <w:num w:numId="20" w16cid:durableId="758334932">
    <w:abstractNumId w:val="3"/>
  </w:num>
  <w:num w:numId="21" w16cid:durableId="1868328162">
    <w:abstractNumId w:val="2"/>
  </w:num>
  <w:num w:numId="22" w16cid:durableId="85446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97"/>
    <w:rsid w:val="003A4FCC"/>
    <w:rsid w:val="003E7B63"/>
    <w:rsid w:val="00455272"/>
    <w:rsid w:val="006620AC"/>
    <w:rsid w:val="00704C66"/>
    <w:rsid w:val="007740D1"/>
    <w:rsid w:val="00830B5C"/>
    <w:rsid w:val="009606EC"/>
    <w:rsid w:val="00974563"/>
    <w:rsid w:val="009B4008"/>
    <w:rsid w:val="00AA7288"/>
    <w:rsid w:val="00C614ED"/>
    <w:rsid w:val="00E51C97"/>
    <w:rsid w:val="00E940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687C7D"/>
  <w15:docId w15:val="{E5E3DB65-D342-46AD-8BC2-7FC7395F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semiHidden="1" w:unhideWhenUsed="1"/>
    <w:lsdException w:name="Signature" w:uiPriority="0" w:semiHidden="1" w:unhideWhenUsed="1" w:qFormat="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semiHidden="1" w:unhideWhenUsed="1"/>
    <w:lsdException w:name="Subtitle" w:uiPriority="0"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4C66"/>
    <w:pPr>
      <w:spacing w:after="0" w:line="240" w:lineRule="auto"/>
    </w:pPr>
  </w:style>
  <w:style w:type="paragraph" w:styleId="Heading1">
    <w:name w:val="heading 1"/>
    <w:basedOn w:val="HeadingBase"/>
    <w:next w:val="Normal"/>
    <w:link w:val="Heading1Char"/>
    <w:qFormat/>
    <w:rsid w:val="001042B0"/>
    <w:pPr>
      <w:numPr>
        <w:numId w:val="21"/>
      </w:numPr>
      <w:tabs>
        <w:tab w:val="clear" w:pos="720"/>
      </w:tabs>
      <w:spacing w:after="240"/>
      <w:outlineLvl w:val="0"/>
    </w:pPr>
    <w:rPr>
      <w:rFonts w:cs="Arial"/>
      <w:bCs/>
      <w:color w:val="000000"/>
    </w:rPr>
  </w:style>
  <w:style w:type="paragraph" w:styleId="Heading2">
    <w:name w:val="heading 2"/>
    <w:basedOn w:val="HeadingBase"/>
    <w:next w:val="Normal"/>
    <w:link w:val="Heading2Char"/>
    <w:qFormat/>
    <w:rsid w:val="001042B0"/>
    <w:pPr>
      <w:numPr>
        <w:ilvl w:val="1"/>
        <w:numId w:val="21"/>
      </w:numPr>
      <w:spacing w:after="240"/>
      <w:outlineLvl w:val="1"/>
    </w:pPr>
    <w:rPr>
      <w:rFonts w:cs="Arial"/>
      <w:bCs/>
      <w:iCs/>
      <w:color w:val="000000"/>
      <w:szCs w:val="28"/>
    </w:rPr>
  </w:style>
  <w:style w:type="paragraph" w:styleId="Heading3">
    <w:name w:val="heading 3"/>
    <w:basedOn w:val="HeadingBase"/>
    <w:next w:val="Normal"/>
    <w:link w:val="Heading3Char"/>
    <w:qFormat/>
    <w:rsid w:val="001042B0"/>
    <w:pPr>
      <w:numPr>
        <w:ilvl w:val="2"/>
        <w:numId w:val="21"/>
      </w:numPr>
      <w:spacing w:after="240"/>
      <w:outlineLvl w:val="2"/>
    </w:pPr>
    <w:rPr>
      <w:rFonts w:cs="Arial"/>
      <w:bCs/>
      <w:color w:val="000000"/>
    </w:rPr>
  </w:style>
  <w:style w:type="paragraph" w:styleId="Heading4">
    <w:name w:val="heading 4"/>
    <w:basedOn w:val="HeadingBase"/>
    <w:next w:val="Normal"/>
    <w:link w:val="Heading4Char"/>
    <w:qFormat/>
    <w:rsid w:val="001042B0"/>
    <w:pPr>
      <w:numPr>
        <w:ilvl w:val="3"/>
        <w:numId w:val="21"/>
      </w:numPr>
      <w:spacing w:after="240"/>
      <w:outlineLvl w:val="3"/>
    </w:pPr>
    <w:rPr>
      <w:bCs/>
      <w:color w:val="000000"/>
      <w:szCs w:val="28"/>
    </w:rPr>
  </w:style>
  <w:style w:type="paragraph" w:styleId="Heading5">
    <w:name w:val="heading 5"/>
    <w:basedOn w:val="HeadingBase"/>
    <w:next w:val="Normal"/>
    <w:link w:val="Heading5Char"/>
    <w:qFormat/>
    <w:rsid w:val="001042B0"/>
    <w:pPr>
      <w:numPr>
        <w:ilvl w:val="4"/>
        <w:numId w:val="21"/>
      </w:numPr>
      <w:spacing w:after="240"/>
      <w:outlineLvl w:val="4"/>
    </w:pPr>
    <w:rPr>
      <w:bCs/>
      <w:iCs/>
      <w:color w:val="000000"/>
      <w:szCs w:val="26"/>
    </w:rPr>
  </w:style>
  <w:style w:type="paragraph" w:styleId="Heading6">
    <w:name w:val="heading 6"/>
    <w:basedOn w:val="HeadingBase"/>
    <w:next w:val="Normal"/>
    <w:link w:val="Heading6Char"/>
    <w:qFormat/>
    <w:rsid w:val="001042B0"/>
    <w:pPr>
      <w:numPr>
        <w:ilvl w:val="5"/>
        <w:numId w:val="21"/>
      </w:numPr>
      <w:spacing w:after="240"/>
      <w:outlineLvl w:val="5"/>
    </w:pPr>
    <w:rPr>
      <w:bCs/>
      <w:color w:val="000000"/>
    </w:rPr>
  </w:style>
  <w:style w:type="paragraph" w:styleId="Heading7">
    <w:name w:val="heading 7"/>
    <w:basedOn w:val="HeadingBase"/>
    <w:next w:val="Normal"/>
    <w:link w:val="Heading7Char"/>
    <w:qFormat/>
    <w:rsid w:val="001042B0"/>
    <w:pPr>
      <w:numPr>
        <w:ilvl w:val="6"/>
        <w:numId w:val="21"/>
      </w:numPr>
      <w:spacing w:after="240"/>
      <w:outlineLvl w:val="6"/>
    </w:pPr>
    <w:rPr>
      <w:color w:val="000000"/>
    </w:rPr>
  </w:style>
  <w:style w:type="paragraph" w:styleId="Heading8">
    <w:name w:val="heading 8"/>
    <w:basedOn w:val="HeadingBase"/>
    <w:next w:val="Normal"/>
    <w:link w:val="Heading8Char"/>
    <w:qFormat/>
    <w:rsid w:val="001042B0"/>
    <w:pPr>
      <w:numPr>
        <w:ilvl w:val="7"/>
        <w:numId w:val="21"/>
      </w:numPr>
      <w:spacing w:after="240"/>
      <w:outlineLvl w:val="7"/>
    </w:pPr>
    <w:rPr>
      <w:iCs/>
      <w:color w:val="000000"/>
    </w:rPr>
  </w:style>
  <w:style w:type="paragraph" w:styleId="Heading9">
    <w:name w:val="heading 9"/>
    <w:basedOn w:val="HeadingBase"/>
    <w:next w:val="Normal"/>
    <w:link w:val="Heading9Char"/>
    <w:qFormat/>
    <w:rsid w:val="001042B0"/>
    <w:pPr>
      <w:numPr>
        <w:ilvl w:val="8"/>
        <w:numId w:val="21"/>
      </w:numPr>
      <w:spacing w:after="240"/>
      <w:outlineLvl w:val="8"/>
    </w:pPr>
    <w:rPr>
      <w:rFonts w:cs="Arial"/>
      <w:color w:val="000000"/>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042B0"/>
    <w:rPr>
      <w:rFonts w:ascii="Times New Roman" w:hAnsi="Times New Roman" w:eastAsia="Times New Roman" w:cs="Arial"/>
      <w:bCs/>
      <w:color w:val="000000"/>
      <w:sz w:val="24"/>
      <w:szCs w:val="24"/>
    </w:rPr>
  </w:style>
  <w:style w:type="paragraph" w:styleId="Header">
    <w:name w:val="header"/>
    <w:basedOn w:val="Normal"/>
    <w:link w:val="HeaderChar"/>
    <w:uiPriority w:val="99"/>
    <w:unhideWhenUsed/>
    <w:rsid w:val="002C2A6F"/>
    <w:pPr>
      <w:tabs>
        <w:tab w:val="center" w:pos="4680"/>
        <w:tab w:val="right" w:pos="9360"/>
      </w:tabs>
    </w:pPr>
  </w:style>
  <w:style w:type="character" w:styleId="HeaderChar" w:customStyle="1">
    <w:name w:val="Header Char"/>
    <w:basedOn w:val="DefaultParagraphFont"/>
    <w:link w:val="Header"/>
    <w:uiPriority w:val="99"/>
    <w:rsid w:val="002C2A6F"/>
  </w:style>
  <w:style w:type="paragraph" w:styleId="Footer">
    <w:name w:val="footer"/>
    <w:basedOn w:val="Normal"/>
    <w:link w:val="FooterChar"/>
    <w:uiPriority w:val="99"/>
    <w:semiHidden/>
    <w:rsid w:val="009804C2"/>
    <w:pPr>
      <w:tabs>
        <w:tab w:val="center" w:pos="4680"/>
        <w:tab w:val="right" w:pos="9360"/>
      </w:tabs>
    </w:pPr>
  </w:style>
  <w:style w:type="character" w:styleId="FooterChar" w:customStyle="1">
    <w:name w:val="Footer Char"/>
    <w:basedOn w:val="DefaultParagraphFont"/>
    <w:link w:val="Footer"/>
    <w:uiPriority w:val="99"/>
    <w:semiHidden/>
    <w:rsid w:val="0041231D"/>
    <w:rPr>
      <w:rFonts w:ascii="Times New Roman" w:hAnsi="Times New Roman"/>
      <w:sz w:val="24"/>
    </w:rPr>
  </w:style>
  <w:style w:type="paragraph" w:styleId="BlockText">
    <w:name w:val="Block Text"/>
    <w:basedOn w:val="Normal"/>
    <w:qFormat/>
    <w:rsid w:val="0027171F"/>
    <w:pPr>
      <w:spacing w:after="240"/>
      <w:ind w:left="1440" w:right="1440"/>
    </w:pPr>
    <w:rPr>
      <w:rFonts w:eastAsia="Times New Roman" w:cs="Times New Roman"/>
      <w:szCs w:val="24"/>
    </w:rPr>
  </w:style>
  <w:style w:type="paragraph" w:styleId="BodyText2">
    <w:name w:val="Body Text 2"/>
    <w:basedOn w:val="Normal"/>
    <w:link w:val="BodyText2Char"/>
    <w:qFormat/>
    <w:rsid w:val="0027171F"/>
    <w:pPr>
      <w:spacing w:line="480" w:lineRule="auto"/>
    </w:pPr>
    <w:rPr>
      <w:rFonts w:eastAsia="Times New Roman" w:cs="Times New Roman"/>
      <w:szCs w:val="24"/>
    </w:rPr>
  </w:style>
  <w:style w:type="character" w:styleId="BodyText2Char" w:customStyle="1">
    <w:name w:val="Body Text 2 Char"/>
    <w:basedOn w:val="DefaultParagraphFont"/>
    <w:link w:val="BodyText2"/>
    <w:rsid w:val="0027171F"/>
    <w:rPr>
      <w:rFonts w:ascii="Times New Roman" w:hAnsi="Times New Roman" w:eastAsia="Times New Roman" w:cs="Times New Roman"/>
      <w:sz w:val="24"/>
      <w:szCs w:val="24"/>
    </w:rPr>
  </w:style>
  <w:style w:type="paragraph" w:styleId="BodyText">
    <w:name w:val="Body Text"/>
    <w:basedOn w:val="Normal"/>
    <w:link w:val="BodyTextChar"/>
    <w:qFormat/>
    <w:rsid w:val="0027171F"/>
    <w:pPr>
      <w:spacing w:after="240"/>
    </w:pPr>
    <w:rPr>
      <w:rFonts w:eastAsia="Times New Roman" w:cs="Times New Roman"/>
      <w:szCs w:val="24"/>
    </w:rPr>
  </w:style>
  <w:style w:type="character" w:styleId="BodyTextChar" w:customStyle="1">
    <w:name w:val="Body Text Char"/>
    <w:basedOn w:val="DefaultParagraphFont"/>
    <w:link w:val="BodyText"/>
    <w:rsid w:val="0027171F"/>
    <w:rPr>
      <w:rFonts w:ascii="Times New Roman" w:hAnsi="Times New Roman" w:eastAsia="Times New Roman" w:cs="Times New Roman"/>
      <w:sz w:val="24"/>
      <w:szCs w:val="24"/>
    </w:rPr>
  </w:style>
  <w:style w:type="character" w:styleId="DocID" w:customStyle="1">
    <w:name w:val="DocID"/>
    <w:basedOn w:val="DefaultParagraphFont"/>
    <w:rsid w:val="00701BDF"/>
    <w:rPr>
      <w:sz w:val="16"/>
    </w:rPr>
  </w:style>
  <w:style w:type="character" w:styleId="Emphasis">
    <w:name w:val="Emphasis"/>
    <w:basedOn w:val="DefaultParagraphFont"/>
    <w:unhideWhenUsed/>
    <w:qFormat/>
    <w:rsid w:val="00701BDF"/>
    <w:rPr>
      <w:i/>
      <w:iCs/>
    </w:rPr>
  </w:style>
  <w:style w:type="character" w:styleId="Heading2Char" w:customStyle="1">
    <w:name w:val="Heading 2 Char"/>
    <w:basedOn w:val="DefaultParagraphFont"/>
    <w:link w:val="Heading2"/>
    <w:rsid w:val="001042B0"/>
    <w:rPr>
      <w:rFonts w:ascii="Times New Roman" w:hAnsi="Times New Roman" w:eastAsia="Times New Roman" w:cs="Arial"/>
      <w:bCs/>
      <w:iCs/>
      <w:color w:val="000000"/>
      <w:sz w:val="24"/>
      <w:szCs w:val="28"/>
    </w:rPr>
  </w:style>
  <w:style w:type="character" w:styleId="Heading3Char" w:customStyle="1">
    <w:name w:val="Heading 3 Char"/>
    <w:basedOn w:val="DefaultParagraphFont"/>
    <w:link w:val="Heading3"/>
    <w:rsid w:val="001042B0"/>
    <w:rPr>
      <w:rFonts w:ascii="Times New Roman" w:hAnsi="Times New Roman" w:eastAsia="Times New Roman" w:cs="Arial"/>
      <w:bCs/>
      <w:color w:val="000000"/>
      <w:sz w:val="24"/>
      <w:szCs w:val="24"/>
    </w:rPr>
  </w:style>
  <w:style w:type="character" w:styleId="Heading4Char" w:customStyle="1">
    <w:name w:val="Heading 4 Char"/>
    <w:basedOn w:val="DefaultParagraphFont"/>
    <w:link w:val="Heading4"/>
    <w:rsid w:val="001042B0"/>
    <w:rPr>
      <w:rFonts w:ascii="Times New Roman" w:hAnsi="Times New Roman" w:eastAsia="Times New Roman" w:cs="Times New Roman"/>
      <w:bCs/>
      <w:color w:val="000000"/>
      <w:sz w:val="24"/>
      <w:szCs w:val="28"/>
    </w:rPr>
  </w:style>
  <w:style w:type="character" w:styleId="Heading5Char" w:customStyle="1">
    <w:name w:val="Heading 5 Char"/>
    <w:basedOn w:val="DefaultParagraphFont"/>
    <w:link w:val="Heading5"/>
    <w:rsid w:val="001042B0"/>
    <w:rPr>
      <w:rFonts w:ascii="Times New Roman" w:hAnsi="Times New Roman" w:eastAsia="Times New Roman" w:cs="Times New Roman"/>
      <w:bCs/>
      <w:iCs/>
      <w:color w:val="000000"/>
      <w:sz w:val="24"/>
      <w:szCs w:val="26"/>
    </w:rPr>
  </w:style>
  <w:style w:type="character" w:styleId="Heading6Char" w:customStyle="1">
    <w:name w:val="Heading 6 Char"/>
    <w:basedOn w:val="DefaultParagraphFont"/>
    <w:link w:val="Heading6"/>
    <w:rsid w:val="001042B0"/>
    <w:rPr>
      <w:rFonts w:ascii="Times New Roman" w:hAnsi="Times New Roman" w:eastAsia="Times New Roman" w:cs="Times New Roman"/>
      <w:bCs/>
      <w:color w:val="000000"/>
      <w:sz w:val="24"/>
      <w:szCs w:val="24"/>
    </w:rPr>
  </w:style>
  <w:style w:type="character" w:styleId="Heading7Char" w:customStyle="1">
    <w:name w:val="Heading 7 Char"/>
    <w:basedOn w:val="DefaultParagraphFont"/>
    <w:link w:val="Heading7"/>
    <w:rsid w:val="001042B0"/>
    <w:rPr>
      <w:rFonts w:ascii="Times New Roman" w:hAnsi="Times New Roman" w:eastAsia="Times New Roman" w:cs="Times New Roman"/>
      <w:color w:val="000000"/>
      <w:sz w:val="24"/>
      <w:szCs w:val="24"/>
    </w:rPr>
  </w:style>
  <w:style w:type="character" w:styleId="Heading8Char" w:customStyle="1">
    <w:name w:val="Heading 8 Char"/>
    <w:basedOn w:val="DefaultParagraphFont"/>
    <w:link w:val="Heading8"/>
    <w:rsid w:val="001042B0"/>
    <w:rPr>
      <w:rFonts w:ascii="Times New Roman" w:hAnsi="Times New Roman" w:eastAsia="Times New Roman" w:cs="Times New Roman"/>
      <w:iCs/>
      <w:color w:val="000000"/>
      <w:sz w:val="24"/>
      <w:szCs w:val="24"/>
    </w:rPr>
  </w:style>
  <w:style w:type="character" w:styleId="Heading9Char" w:customStyle="1">
    <w:name w:val="Heading 9 Char"/>
    <w:basedOn w:val="DefaultParagraphFont"/>
    <w:link w:val="Heading9"/>
    <w:rsid w:val="001042B0"/>
    <w:rPr>
      <w:rFonts w:ascii="Times New Roman" w:hAnsi="Times New Roman" w:eastAsia="Times New Roman" w:cs="Arial"/>
      <w:color w:val="000000"/>
      <w:sz w:val="24"/>
    </w:rPr>
  </w:style>
  <w:style w:type="paragraph" w:styleId="HeadingBase" w:customStyle="1">
    <w:name w:val="Heading Base"/>
    <w:basedOn w:val="Normal"/>
    <w:next w:val="Normal"/>
    <w:rsid w:val="004325E3"/>
    <w:rPr>
      <w:rFonts w:eastAsia="Times New Roman" w:cs="Times New Roman"/>
      <w:szCs w:val="24"/>
    </w:rPr>
  </w:style>
  <w:style w:type="paragraph" w:styleId="ListBullet">
    <w:name w:val="List Bullet"/>
    <w:basedOn w:val="Normal"/>
    <w:rsid w:val="00701BDF"/>
    <w:pPr>
      <w:numPr>
        <w:numId w:val="11"/>
      </w:numPr>
    </w:pPr>
    <w:rPr>
      <w:rFonts w:eastAsia="Times New Roman" w:cs="Times New Roman"/>
      <w:szCs w:val="24"/>
    </w:rPr>
  </w:style>
  <w:style w:type="paragraph" w:styleId="OutlineBodyText" w:customStyle="1">
    <w:name w:val="Outline Body Text"/>
    <w:basedOn w:val="Normal"/>
    <w:qFormat/>
    <w:rsid w:val="00175950"/>
    <w:pPr>
      <w:spacing w:after="240"/>
      <w:ind w:firstLine="720"/>
    </w:pPr>
    <w:rPr>
      <w:rFonts w:eastAsia="Times New Roman" w:cs="Times New Roman"/>
      <w:szCs w:val="20"/>
    </w:rPr>
  </w:style>
  <w:style w:type="paragraph" w:styleId="Signature">
    <w:name w:val="Signature"/>
    <w:basedOn w:val="Normal"/>
    <w:link w:val="SignatureChar"/>
    <w:qFormat/>
    <w:rsid w:val="00701BDF"/>
    <w:pPr>
      <w:ind w:left="4320"/>
    </w:pPr>
    <w:rPr>
      <w:rFonts w:eastAsia="Times New Roman" w:cs="Times New Roman"/>
      <w:szCs w:val="24"/>
    </w:rPr>
  </w:style>
  <w:style w:type="character" w:styleId="SignatureChar" w:customStyle="1">
    <w:name w:val="Signature Char"/>
    <w:basedOn w:val="DefaultParagraphFont"/>
    <w:link w:val="Signature"/>
    <w:rsid w:val="00701BDF"/>
    <w:rPr>
      <w:rFonts w:ascii="Times New Roman" w:hAnsi="Times New Roman" w:eastAsia="Times New Roman" w:cs="Times New Roman"/>
      <w:sz w:val="24"/>
      <w:szCs w:val="24"/>
    </w:rPr>
  </w:style>
  <w:style w:type="character" w:styleId="Strong">
    <w:name w:val="Strong"/>
    <w:basedOn w:val="DefaultParagraphFont"/>
    <w:semiHidden/>
    <w:unhideWhenUsed/>
    <w:qFormat/>
    <w:rsid w:val="00701BDF"/>
    <w:rPr>
      <w:b/>
      <w:bCs/>
    </w:rPr>
  </w:style>
  <w:style w:type="paragraph" w:styleId="Title">
    <w:name w:val="Title"/>
    <w:basedOn w:val="Normal"/>
    <w:link w:val="TitleChar"/>
    <w:unhideWhenUsed/>
    <w:qFormat/>
    <w:rsid w:val="009876B7"/>
    <w:pPr>
      <w:keepNext/>
      <w:spacing w:after="240"/>
      <w:jc w:val="center"/>
      <w:outlineLvl w:val="0"/>
    </w:pPr>
    <w:rPr>
      <w:rFonts w:eastAsia="Times New Roman" w:cs="Arial"/>
      <w:b/>
      <w:bCs/>
      <w:kern w:val="28"/>
      <w:szCs w:val="32"/>
    </w:rPr>
  </w:style>
  <w:style w:type="character" w:styleId="TitleChar" w:customStyle="1">
    <w:name w:val="Title Char"/>
    <w:basedOn w:val="DefaultParagraphFont"/>
    <w:link w:val="Title"/>
    <w:rsid w:val="009876B7"/>
    <w:rPr>
      <w:rFonts w:ascii="Times New Roman" w:hAnsi="Times New Roman" w:eastAsia="Times New Roman" w:cs="Arial"/>
      <w:b/>
      <w:bCs/>
      <w:kern w:val="28"/>
      <w:sz w:val="24"/>
      <w:szCs w:val="32"/>
    </w:rPr>
  </w:style>
  <w:style w:type="paragraph" w:styleId="Caption">
    <w:name w:val="caption"/>
    <w:basedOn w:val="Normal"/>
    <w:next w:val="Normal"/>
    <w:semiHidden/>
    <w:qFormat/>
    <w:rsid w:val="00310BDA"/>
    <w:rPr>
      <w:rFonts w:eastAsia="Times New Roman" w:cs="Times New Roman"/>
      <w:b/>
      <w:bCs/>
      <w:sz w:val="20"/>
      <w:szCs w:val="20"/>
    </w:rPr>
  </w:style>
  <w:style w:type="paragraph" w:styleId="Closing">
    <w:name w:val="Closing"/>
    <w:basedOn w:val="Normal"/>
    <w:link w:val="ClosingChar"/>
    <w:rsid w:val="00310BDA"/>
    <w:pPr>
      <w:ind w:left="4320"/>
    </w:pPr>
    <w:rPr>
      <w:rFonts w:eastAsia="Times New Roman" w:cs="Times New Roman"/>
      <w:szCs w:val="24"/>
    </w:rPr>
  </w:style>
  <w:style w:type="character" w:styleId="ClosingChar" w:customStyle="1">
    <w:name w:val="Closing Char"/>
    <w:basedOn w:val="DefaultParagraphFont"/>
    <w:link w:val="Closing"/>
    <w:rsid w:val="00310BDA"/>
    <w:rPr>
      <w:rFonts w:ascii="Times New Roman" w:hAnsi="Times New Roman" w:eastAsia="Times New Roman" w:cs="Times New Roman"/>
      <w:sz w:val="24"/>
      <w:szCs w:val="24"/>
    </w:rPr>
  </w:style>
  <w:style w:type="paragraph" w:styleId="FootnoteText">
    <w:name w:val="footnote text"/>
    <w:basedOn w:val="Normal"/>
    <w:link w:val="FootnoteTextChar"/>
    <w:semiHidden/>
    <w:rsid w:val="00310BDA"/>
    <w:pPr>
      <w:tabs>
        <w:tab w:val="left" w:pos="446"/>
      </w:tabs>
      <w:spacing w:after="120" w:line="240" w:lineRule="exact"/>
    </w:pPr>
    <w:rPr>
      <w:rFonts w:eastAsia="Times New Roman" w:cs="Times New Roman"/>
      <w:szCs w:val="20"/>
    </w:rPr>
  </w:style>
  <w:style w:type="character" w:styleId="FootnoteTextChar" w:customStyle="1">
    <w:name w:val="Footnote Text Char"/>
    <w:basedOn w:val="DefaultParagraphFont"/>
    <w:link w:val="FootnoteText"/>
    <w:semiHidden/>
    <w:rsid w:val="0041231D"/>
    <w:rPr>
      <w:rFonts w:ascii="Times New Roman" w:hAnsi="Times New Roman" w:eastAsia="Times New Roman" w:cs="Times New Roman"/>
      <w:sz w:val="24"/>
      <w:szCs w:val="20"/>
    </w:rPr>
  </w:style>
  <w:style w:type="paragraph" w:styleId="MessageHeader">
    <w:name w:val="Message Header"/>
    <w:basedOn w:val="Normal"/>
    <w:link w:val="MessageHeaderChar"/>
    <w:semiHidden/>
    <w:rsid w:val="00310BDA"/>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eastAsia="Times New Roman" w:cs="Arial"/>
      <w:szCs w:val="24"/>
    </w:rPr>
  </w:style>
  <w:style w:type="character" w:styleId="MessageHeaderChar" w:customStyle="1">
    <w:name w:val="Message Header Char"/>
    <w:basedOn w:val="DefaultParagraphFont"/>
    <w:link w:val="MessageHeader"/>
    <w:semiHidden/>
    <w:rsid w:val="00AE565F"/>
    <w:rPr>
      <w:rFonts w:ascii="Arial" w:hAnsi="Arial" w:eastAsia="Times New Roman" w:cs="Arial"/>
      <w:sz w:val="24"/>
      <w:szCs w:val="24"/>
      <w:shd w:val="pct20" w:color="auto" w:fill="auto"/>
    </w:rPr>
  </w:style>
  <w:style w:type="paragraph" w:styleId="Subtitle">
    <w:name w:val="Subtitle"/>
    <w:basedOn w:val="Normal"/>
    <w:link w:val="SubtitleChar"/>
    <w:qFormat/>
    <w:rsid w:val="00310BDA"/>
    <w:pPr>
      <w:spacing w:after="60"/>
      <w:jc w:val="center"/>
      <w:outlineLvl w:val="1"/>
    </w:pPr>
    <w:rPr>
      <w:rFonts w:ascii="Arial" w:hAnsi="Arial" w:eastAsia="Times New Roman" w:cs="Arial"/>
      <w:szCs w:val="24"/>
    </w:rPr>
  </w:style>
  <w:style w:type="character" w:styleId="SubtitleChar" w:customStyle="1">
    <w:name w:val="Subtitle Char"/>
    <w:basedOn w:val="DefaultParagraphFont"/>
    <w:link w:val="Subtitle"/>
    <w:rsid w:val="00310BDA"/>
    <w:rPr>
      <w:rFonts w:ascii="Arial" w:hAnsi="Arial" w:eastAsia="Times New Roman" w:cs="Arial"/>
      <w:sz w:val="24"/>
      <w:szCs w:val="24"/>
    </w:rPr>
  </w:style>
  <w:style w:type="paragraph" w:styleId="OutlineBodyText2" w:customStyle="1">
    <w:name w:val="Outline Body Text 2"/>
    <w:basedOn w:val="Normal"/>
    <w:qFormat/>
    <w:rsid w:val="00175950"/>
    <w:pPr>
      <w:spacing w:line="480" w:lineRule="auto"/>
      <w:ind w:firstLine="720"/>
    </w:pPr>
  </w:style>
  <w:style w:type="paragraph" w:styleId="HeadingBody1" w:customStyle="1">
    <w:name w:val="HeadingBody 1"/>
    <w:basedOn w:val="Normal"/>
    <w:next w:val="Normal"/>
    <w:link w:val="HeadingBody1Char"/>
    <w:semiHidden/>
    <w:rsid w:val="00D92E35"/>
    <w:pPr>
      <w:spacing w:after="240"/>
      <w:ind w:left="720" w:hanging="720"/>
    </w:pPr>
    <w:rPr>
      <w:rFonts w:eastAsia="Times New Roman" w:cs="Times New Roman"/>
      <w:bCs/>
      <w:iCs/>
      <w:color w:val="000000"/>
      <w:szCs w:val="20"/>
    </w:rPr>
  </w:style>
  <w:style w:type="character" w:styleId="HeadingBody1Char" w:customStyle="1">
    <w:name w:val="HeadingBody 1 Char"/>
    <w:basedOn w:val="Heading2Char"/>
    <w:link w:val="HeadingBody1"/>
    <w:semiHidden/>
    <w:rsid w:val="0041231D"/>
    <w:rPr>
      <w:rFonts w:ascii="Times New Roman" w:hAnsi="Times New Roman" w:eastAsia="Times New Roman" w:cs="Times New Roman"/>
      <w:bCs/>
      <w:iCs/>
      <w:color w:val="000000"/>
      <w:sz w:val="24"/>
      <w:szCs w:val="20"/>
    </w:rPr>
  </w:style>
  <w:style w:type="paragraph" w:styleId="HeadingBody2" w:customStyle="1">
    <w:name w:val="HeadingBody 2"/>
    <w:basedOn w:val="Normal"/>
    <w:next w:val="Normal"/>
    <w:link w:val="HeadingBody2Char"/>
    <w:semiHidden/>
    <w:rsid w:val="00D92E35"/>
    <w:pPr>
      <w:spacing w:after="240"/>
      <w:ind w:left="1440" w:hanging="720"/>
    </w:pPr>
    <w:rPr>
      <w:rFonts w:eastAsia="Times New Roman" w:cs="Times New Roman"/>
      <w:bCs/>
      <w:iCs/>
      <w:color w:val="000000"/>
      <w:szCs w:val="24"/>
    </w:rPr>
  </w:style>
  <w:style w:type="character" w:styleId="HeadingBody2Char" w:customStyle="1">
    <w:name w:val="HeadingBody 2 Char"/>
    <w:basedOn w:val="Heading2Char"/>
    <w:link w:val="HeadingBody2"/>
    <w:semiHidden/>
    <w:rsid w:val="0041231D"/>
    <w:rPr>
      <w:rFonts w:ascii="Times New Roman" w:hAnsi="Times New Roman" w:eastAsia="Times New Roman" w:cs="Times New Roman"/>
      <w:bCs/>
      <w:iCs/>
      <w:color w:val="000000"/>
      <w:sz w:val="24"/>
      <w:szCs w:val="24"/>
    </w:rPr>
  </w:style>
  <w:style w:type="paragraph" w:styleId="HeadingBody3" w:customStyle="1">
    <w:name w:val="HeadingBody 3"/>
    <w:basedOn w:val="Normal"/>
    <w:next w:val="Normal"/>
    <w:link w:val="HeadingBody3Char"/>
    <w:semiHidden/>
    <w:rsid w:val="00D92E35"/>
    <w:pPr>
      <w:spacing w:after="240"/>
      <w:ind w:left="2160" w:hanging="720"/>
    </w:pPr>
    <w:rPr>
      <w:rFonts w:eastAsia="Times New Roman" w:cs="Times New Roman"/>
      <w:bCs/>
      <w:iCs/>
      <w:color w:val="000000"/>
      <w:szCs w:val="24"/>
    </w:rPr>
  </w:style>
  <w:style w:type="character" w:styleId="HeadingBody3Char" w:customStyle="1">
    <w:name w:val="HeadingBody 3 Char"/>
    <w:basedOn w:val="Heading2Char"/>
    <w:link w:val="HeadingBody3"/>
    <w:semiHidden/>
    <w:rsid w:val="0041231D"/>
    <w:rPr>
      <w:rFonts w:ascii="Times New Roman" w:hAnsi="Times New Roman" w:eastAsia="Times New Roman" w:cs="Times New Roman"/>
      <w:bCs/>
      <w:iCs/>
      <w:color w:val="000000"/>
      <w:sz w:val="24"/>
      <w:szCs w:val="24"/>
    </w:rPr>
  </w:style>
  <w:style w:type="paragraph" w:styleId="HeadingBody4" w:customStyle="1">
    <w:name w:val="HeadingBody 4"/>
    <w:basedOn w:val="Normal"/>
    <w:next w:val="Normal"/>
    <w:link w:val="HeadingBody4Char"/>
    <w:semiHidden/>
    <w:rsid w:val="00D92E35"/>
    <w:pPr>
      <w:spacing w:after="240"/>
      <w:ind w:left="2880" w:hanging="720"/>
    </w:pPr>
    <w:rPr>
      <w:rFonts w:eastAsia="Times New Roman" w:cs="Times New Roman"/>
      <w:bCs/>
      <w:iCs/>
      <w:color w:val="000000"/>
      <w:szCs w:val="24"/>
    </w:rPr>
  </w:style>
  <w:style w:type="character" w:styleId="HeadingBody4Char" w:customStyle="1">
    <w:name w:val="HeadingBody 4 Char"/>
    <w:basedOn w:val="Heading2Char"/>
    <w:link w:val="HeadingBody4"/>
    <w:semiHidden/>
    <w:rsid w:val="0041231D"/>
    <w:rPr>
      <w:rFonts w:ascii="Times New Roman" w:hAnsi="Times New Roman" w:eastAsia="Times New Roman" w:cs="Times New Roman"/>
      <w:bCs/>
      <w:iCs/>
      <w:color w:val="000000"/>
      <w:sz w:val="24"/>
      <w:szCs w:val="24"/>
    </w:rPr>
  </w:style>
  <w:style w:type="paragraph" w:styleId="HeadingBody5" w:customStyle="1">
    <w:name w:val="HeadingBody 5"/>
    <w:basedOn w:val="Normal"/>
    <w:next w:val="Normal"/>
    <w:link w:val="HeadingBody5Char"/>
    <w:semiHidden/>
    <w:rsid w:val="00D92E35"/>
    <w:pPr>
      <w:spacing w:after="240"/>
      <w:ind w:left="3600" w:hanging="715"/>
    </w:pPr>
    <w:rPr>
      <w:rFonts w:eastAsia="Times New Roman" w:cs="Times New Roman"/>
      <w:bCs/>
      <w:iCs/>
      <w:color w:val="000000"/>
      <w:szCs w:val="24"/>
    </w:rPr>
  </w:style>
  <w:style w:type="character" w:styleId="HeadingBody5Char" w:customStyle="1">
    <w:name w:val="HeadingBody 5 Char"/>
    <w:basedOn w:val="Heading2Char"/>
    <w:link w:val="HeadingBody5"/>
    <w:semiHidden/>
    <w:rsid w:val="0041231D"/>
    <w:rPr>
      <w:rFonts w:ascii="Times New Roman" w:hAnsi="Times New Roman" w:eastAsia="Times New Roman" w:cs="Times New Roman"/>
      <w:bCs/>
      <w:iCs/>
      <w:color w:val="000000"/>
      <w:sz w:val="24"/>
      <w:szCs w:val="24"/>
    </w:rPr>
  </w:style>
  <w:style w:type="paragraph" w:styleId="HeadingBody6" w:customStyle="1">
    <w:name w:val="HeadingBody 6"/>
    <w:basedOn w:val="Normal"/>
    <w:next w:val="Normal"/>
    <w:link w:val="HeadingBody6Char"/>
    <w:semiHidden/>
    <w:rsid w:val="00D92E35"/>
    <w:pPr>
      <w:spacing w:after="240"/>
      <w:ind w:left="4325" w:hanging="720"/>
    </w:pPr>
    <w:rPr>
      <w:rFonts w:eastAsia="Times New Roman" w:cs="Times New Roman"/>
      <w:bCs/>
      <w:iCs/>
      <w:color w:val="000000"/>
      <w:szCs w:val="24"/>
    </w:rPr>
  </w:style>
  <w:style w:type="character" w:styleId="HeadingBody6Char" w:customStyle="1">
    <w:name w:val="HeadingBody 6 Char"/>
    <w:basedOn w:val="Heading2Char"/>
    <w:link w:val="HeadingBody6"/>
    <w:semiHidden/>
    <w:rsid w:val="0041231D"/>
    <w:rPr>
      <w:rFonts w:ascii="Times New Roman" w:hAnsi="Times New Roman" w:eastAsia="Times New Roman" w:cs="Times New Roman"/>
      <w:bCs/>
      <w:iCs/>
      <w:color w:val="000000"/>
      <w:sz w:val="24"/>
      <w:szCs w:val="24"/>
    </w:rPr>
  </w:style>
  <w:style w:type="paragraph" w:styleId="HeadingBody7" w:customStyle="1">
    <w:name w:val="HeadingBody 7"/>
    <w:basedOn w:val="Normal"/>
    <w:next w:val="Normal"/>
    <w:link w:val="HeadingBody7Char"/>
    <w:semiHidden/>
    <w:rsid w:val="00D92E35"/>
    <w:pPr>
      <w:spacing w:after="240"/>
      <w:ind w:left="5040" w:hanging="720"/>
    </w:pPr>
    <w:rPr>
      <w:rFonts w:eastAsia="Times New Roman" w:cs="Times New Roman"/>
      <w:bCs/>
      <w:iCs/>
      <w:color w:val="000000"/>
      <w:szCs w:val="24"/>
    </w:rPr>
  </w:style>
  <w:style w:type="character" w:styleId="HeadingBody7Char" w:customStyle="1">
    <w:name w:val="HeadingBody 7 Char"/>
    <w:basedOn w:val="Heading2Char"/>
    <w:link w:val="HeadingBody7"/>
    <w:semiHidden/>
    <w:rsid w:val="0041231D"/>
    <w:rPr>
      <w:rFonts w:ascii="Times New Roman" w:hAnsi="Times New Roman" w:eastAsia="Times New Roman" w:cs="Times New Roman"/>
      <w:bCs/>
      <w:iCs/>
      <w:color w:val="000000"/>
      <w:sz w:val="24"/>
      <w:szCs w:val="24"/>
    </w:rPr>
  </w:style>
  <w:style w:type="paragraph" w:styleId="HeadingBody8" w:customStyle="1">
    <w:name w:val="HeadingBody 8"/>
    <w:basedOn w:val="Normal"/>
    <w:next w:val="Normal"/>
    <w:link w:val="HeadingBody8Char"/>
    <w:semiHidden/>
    <w:rsid w:val="00D92E35"/>
    <w:pPr>
      <w:spacing w:after="240"/>
      <w:ind w:left="5760" w:hanging="720"/>
    </w:pPr>
    <w:rPr>
      <w:rFonts w:eastAsia="Times New Roman" w:cs="Times New Roman"/>
      <w:bCs/>
      <w:iCs/>
      <w:color w:val="000000"/>
      <w:szCs w:val="24"/>
    </w:rPr>
  </w:style>
  <w:style w:type="character" w:styleId="HeadingBody8Char" w:customStyle="1">
    <w:name w:val="HeadingBody 8 Char"/>
    <w:basedOn w:val="Heading2Char"/>
    <w:link w:val="HeadingBody8"/>
    <w:semiHidden/>
    <w:rsid w:val="0041231D"/>
    <w:rPr>
      <w:rFonts w:ascii="Times New Roman" w:hAnsi="Times New Roman" w:eastAsia="Times New Roman" w:cs="Times New Roman"/>
      <w:bCs/>
      <w:iCs/>
      <w:color w:val="000000"/>
      <w:sz w:val="24"/>
      <w:szCs w:val="24"/>
    </w:rPr>
  </w:style>
  <w:style w:type="paragraph" w:styleId="HeadingBody9" w:customStyle="1">
    <w:name w:val="HeadingBody 9"/>
    <w:basedOn w:val="Normal"/>
    <w:next w:val="Normal"/>
    <w:link w:val="HeadingBody9Char"/>
    <w:semiHidden/>
    <w:rsid w:val="00D92E35"/>
    <w:pPr>
      <w:spacing w:after="240"/>
      <w:ind w:left="6480" w:hanging="720"/>
    </w:pPr>
    <w:rPr>
      <w:rFonts w:eastAsia="Times New Roman" w:cs="Times New Roman"/>
      <w:bCs/>
      <w:iCs/>
      <w:color w:val="000000"/>
      <w:szCs w:val="24"/>
    </w:rPr>
  </w:style>
  <w:style w:type="character" w:styleId="HeadingBody9Char" w:customStyle="1">
    <w:name w:val="HeadingBody 9 Char"/>
    <w:basedOn w:val="Heading2Char"/>
    <w:link w:val="HeadingBody9"/>
    <w:semiHidden/>
    <w:rsid w:val="0041231D"/>
    <w:rPr>
      <w:rFonts w:ascii="Times New Roman" w:hAnsi="Times New Roman" w:eastAsia="Times New Roman" w:cs="Times New Roman"/>
      <w:bCs/>
      <w:iCs/>
      <w:color w:val="000000"/>
      <w:sz w:val="24"/>
      <w:szCs w:val="24"/>
    </w:rPr>
  </w:style>
  <w:style w:type="paragraph" w:styleId="TOCHeading">
    <w:name w:val="TOC Heading"/>
    <w:basedOn w:val="Heading1"/>
    <w:next w:val="Normal"/>
    <w:uiPriority w:val="39"/>
    <w:semiHidden/>
    <w:unhideWhenUsed/>
    <w:rsid w:val="001C3554"/>
    <w:pPr>
      <w:keepNext/>
      <w:keepLines/>
      <w:numPr>
        <w:numId w:val="0"/>
      </w:numPr>
      <w:jc w:val="center"/>
      <w:outlineLvl w:val="9"/>
    </w:pPr>
    <w:rPr>
      <w:rFonts w:eastAsiaTheme="majorEastAsia" w:cstheme="majorBidi"/>
      <w:b/>
      <w:caps/>
      <w:szCs w:val="28"/>
      <w:u w:val="single"/>
    </w:rPr>
  </w:style>
  <w:style w:type="paragraph" w:styleId="TOCPage" w:customStyle="1">
    <w:name w:val="TOC Page"/>
    <w:basedOn w:val="Normal"/>
    <w:next w:val="Normal"/>
    <w:link w:val="TOCPageChar"/>
    <w:semiHidden/>
    <w:unhideWhenUsed/>
    <w:rsid w:val="001C3554"/>
    <w:pPr>
      <w:spacing w:after="240"/>
      <w:jc w:val="right"/>
    </w:pPr>
    <w:rPr>
      <w:rFonts w:cs="Times New Roman"/>
      <w:b/>
      <w:u w:val="single"/>
    </w:rPr>
  </w:style>
  <w:style w:type="character" w:styleId="TOCPageChar" w:customStyle="1">
    <w:name w:val="TOC Page Char"/>
    <w:basedOn w:val="DefaultParagraphFont"/>
    <w:link w:val="TOCPage"/>
    <w:semiHidden/>
    <w:rsid w:val="0073458B"/>
    <w:rPr>
      <w:rFonts w:ascii="Times New Roman" w:hAnsi="Times New Roman" w:cs="Times New Roman"/>
      <w:b/>
      <w:sz w:val="24"/>
      <w:u w:val="single"/>
    </w:rPr>
  </w:style>
  <w:style w:type="paragraph" w:styleId="BodyText3">
    <w:name w:val="Body Text 3"/>
    <w:basedOn w:val="Normal"/>
    <w:next w:val="Normal"/>
    <w:link w:val="BodyText3Char"/>
    <w:uiPriority w:val="99"/>
    <w:semiHidden/>
    <w:unhideWhenUsed/>
    <w:rsid w:val="00E51F7F"/>
    <w:pPr>
      <w:spacing w:after="240"/>
      <w:ind w:left="2160" w:hanging="720"/>
    </w:pPr>
    <w:rPr>
      <w:szCs w:val="16"/>
    </w:rPr>
  </w:style>
  <w:style w:type="character" w:styleId="BodyText3Char" w:customStyle="1">
    <w:name w:val="Body Text 3 Char"/>
    <w:basedOn w:val="DefaultParagraphFont"/>
    <w:link w:val="BodyText3"/>
    <w:uiPriority w:val="99"/>
    <w:semiHidden/>
    <w:rsid w:val="00E51F7F"/>
    <w:rPr>
      <w:rFonts w:ascii="Times New Roman" w:hAnsi="Times New Roman"/>
      <w:sz w:val="24"/>
      <w:szCs w:val="16"/>
    </w:rPr>
  </w:style>
  <w:style w:type="character" w:styleId="FootnoteReference">
    <w:name w:val="footnote reference"/>
    <w:basedOn w:val="DefaultParagraphFont"/>
    <w:uiPriority w:val="99"/>
    <w:semiHidden/>
    <w:unhideWhenUsed/>
    <w:rsid w:val="00C43E11"/>
    <w:rPr>
      <w:vertAlign w:val="superscript"/>
    </w:rPr>
  </w:style>
  <w:style w:type="table" w:styleId="TableGrid">
    <w:name w:val="Table Grid"/>
    <w:basedOn w:val="TableNormal"/>
    <w:uiPriority w:val="59"/>
    <w:rsid w:val="008E78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rsid w:val="009B4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7540">
      <w:bodyDiv w:val="1"/>
      <w:marLeft w:val="0"/>
      <w:marRight w:val="0"/>
      <w:marTop w:val="0"/>
      <w:marBottom w:val="0"/>
      <w:divBdr>
        <w:top w:val="none" w:sz="0" w:space="0" w:color="auto"/>
        <w:left w:val="none" w:sz="0" w:space="0" w:color="auto"/>
        <w:bottom w:val="none" w:sz="0" w:space="0" w:color="auto"/>
        <w:right w:val="none" w:sz="0" w:space="0" w:color="auto"/>
      </w:divBdr>
    </w:div>
    <w:div w:id="961955097">
      <w:bodyDiv w:val="1"/>
      <w:marLeft w:val="0"/>
      <w:marRight w:val="0"/>
      <w:marTop w:val="0"/>
      <w:marBottom w:val="0"/>
      <w:divBdr>
        <w:top w:val="none" w:sz="0" w:space="0" w:color="auto"/>
        <w:left w:val="none" w:sz="0" w:space="0" w:color="auto"/>
        <w:bottom w:val="none" w:sz="0" w:space="0" w:color="auto"/>
        <w:right w:val="none" w:sz="0" w:space="0" w:color="auto"/>
      </w:divBdr>
    </w:div>
    <w:div w:id="1020231372">
      <w:bodyDiv w:val="1"/>
      <w:marLeft w:val="0"/>
      <w:marRight w:val="0"/>
      <w:marTop w:val="0"/>
      <w:marBottom w:val="0"/>
      <w:divBdr>
        <w:top w:val="none" w:sz="0" w:space="0" w:color="auto"/>
        <w:left w:val="none" w:sz="0" w:space="0" w:color="auto"/>
        <w:bottom w:val="none" w:sz="0" w:space="0" w:color="auto"/>
        <w:right w:val="none" w:sz="0" w:space="0" w:color="auto"/>
      </w:divBdr>
    </w:div>
    <w:div w:id="12887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